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66" w:rsidRPr="00DF5A44" w:rsidRDefault="00B43D66" w:rsidP="00B43D66">
      <w:pPr>
        <w:pStyle w:val="ParagraphStyle"/>
        <w:jc w:val="center"/>
        <w:rPr>
          <w:b/>
          <w:bCs/>
        </w:rPr>
      </w:pPr>
      <w:r w:rsidRPr="00DF5A44">
        <w:rPr>
          <w:b/>
          <w:bCs/>
        </w:rPr>
        <w:t xml:space="preserve">ATA REGISTRO DE PREÇOS Nº </w:t>
      </w:r>
      <w:r>
        <w:rPr>
          <w:b/>
          <w:bCs/>
        </w:rPr>
        <w:t>156/2020</w:t>
      </w:r>
      <w:r w:rsidRPr="00DF5A44">
        <w:rPr>
          <w:b/>
          <w:bCs/>
        </w:rPr>
        <w:t>.</w:t>
      </w:r>
    </w:p>
    <w:p w:rsidR="00B43D66" w:rsidRPr="00DF5A44" w:rsidRDefault="00B43D66" w:rsidP="00B43D66">
      <w:pPr>
        <w:pStyle w:val="ParagraphStyle"/>
        <w:jc w:val="center"/>
        <w:rPr>
          <w:b/>
          <w:bCs/>
        </w:rPr>
      </w:pPr>
    </w:p>
    <w:p w:rsidR="00B43D66" w:rsidRPr="00DF5A44" w:rsidRDefault="00B43D66" w:rsidP="00B43D66">
      <w:pPr>
        <w:pStyle w:val="ParagraphStyle"/>
        <w:rPr>
          <w:b/>
          <w:bCs/>
        </w:rPr>
      </w:pPr>
      <w:r w:rsidRPr="00DF5A44">
        <w:rPr>
          <w:b/>
          <w:bCs/>
        </w:rPr>
        <w:t xml:space="preserve">PREGÃO PRESENCIAL N° </w:t>
      </w:r>
      <w:r>
        <w:rPr>
          <w:b/>
          <w:bCs/>
        </w:rPr>
        <w:t>50</w:t>
      </w:r>
      <w:r w:rsidRPr="00DF5A44">
        <w:rPr>
          <w:b/>
          <w:bCs/>
        </w:rPr>
        <w:t>/</w:t>
      </w:r>
      <w:r>
        <w:rPr>
          <w:b/>
          <w:bCs/>
        </w:rPr>
        <w:t>2020</w:t>
      </w:r>
      <w:r w:rsidRPr="00DF5A44">
        <w:rPr>
          <w:b/>
          <w:bCs/>
        </w:rPr>
        <w:t>.</w:t>
      </w:r>
    </w:p>
    <w:p w:rsidR="00B43D66" w:rsidRPr="00DF5A44" w:rsidRDefault="00B43D66" w:rsidP="00B43D66">
      <w:pPr>
        <w:pStyle w:val="ParagraphStyle"/>
        <w:rPr>
          <w:b/>
          <w:bCs/>
        </w:rPr>
      </w:pPr>
      <w:r w:rsidRPr="00DF5A44">
        <w:rPr>
          <w:b/>
          <w:bCs/>
        </w:rPr>
        <w:t>VALIDADE: 12 MESES.</w:t>
      </w:r>
    </w:p>
    <w:p w:rsidR="00B43D66" w:rsidRPr="001B5DAB" w:rsidRDefault="00B43D66" w:rsidP="00B43D66">
      <w:pPr>
        <w:pStyle w:val="ParagraphStyle"/>
      </w:pPr>
    </w:p>
    <w:p w:rsidR="00B43D66" w:rsidRPr="001B5DAB" w:rsidRDefault="00B43D66" w:rsidP="00B43D66">
      <w:pPr>
        <w:ind w:right="-1"/>
        <w:jc w:val="both"/>
        <w:rPr>
          <w:rFonts w:ascii="Arial" w:hAnsi="Arial" w:cs="Arial"/>
        </w:rPr>
      </w:pPr>
      <w:r w:rsidRPr="001B5DAB">
        <w:rPr>
          <w:rFonts w:ascii="Arial" w:hAnsi="Arial" w:cs="Arial"/>
        </w:rPr>
        <w:t xml:space="preserve">Aos </w:t>
      </w:r>
      <w:r>
        <w:rPr>
          <w:rFonts w:ascii="Arial" w:hAnsi="Arial" w:cs="Arial"/>
        </w:rPr>
        <w:t xml:space="preserve">dezesseis </w:t>
      </w:r>
      <w:r w:rsidRPr="001B5DAB">
        <w:rPr>
          <w:rFonts w:ascii="Arial" w:hAnsi="Arial" w:cs="Arial"/>
        </w:rPr>
        <w:t xml:space="preserve">dias do mês de </w:t>
      </w:r>
      <w:r>
        <w:rPr>
          <w:rFonts w:ascii="Arial" w:hAnsi="Arial" w:cs="Arial"/>
        </w:rPr>
        <w:t xml:space="preserve">novembro </w:t>
      </w:r>
      <w:r w:rsidRPr="001B5DAB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dois mil e vinte</w:t>
      </w:r>
      <w:r w:rsidRPr="001B5DAB">
        <w:rPr>
          <w:rFonts w:ascii="Arial" w:hAnsi="Arial" w:cs="Arial"/>
        </w:rPr>
        <w:t xml:space="preserve">, na Prefeitura do </w:t>
      </w:r>
      <w:r w:rsidRPr="001B5DAB">
        <w:rPr>
          <w:rFonts w:ascii="Arial" w:hAnsi="Arial" w:cs="Arial"/>
          <w:b/>
          <w:bCs/>
        </w:rPr>
        <w:t xml:space="preserve">MUNICÍPIO DE </w:t>
      </w:r>
      <w:r>
        <w:rPr>
          <w:rFonts w:ascii="Arial" w:hAnsi="Arial" w:cs="Arial"/>
          <w:b/>
          <w:bCs/>
        </w:rPr>
        <w:t>IBEMA</w:t>
      </w:r>
      <w:r w:rsidRPr="001B5DAB">
        <w:rPr>
          <w:rFonts w:ascii="Arial" w:hAnsi="Arial" w:cs="Arial"/>
          <w:b/>
          <w:bCs/>
        </w:rPr>
        <w:t xml:space="preserve">, </w:t>
      </w:r>
      <w:r w:rsidRPr="001B5DAB">
        <w:rPr>
          <w:rFonts w:ascii="Arial" w:hAnsi="Arial" w:cs="Arial"/>
        </w:rPr>
        <w:t xml:space="preserve">Estado do Paraná, inscrito no CNPJ/MF sob o n° </w:t>
      </w:r>
      <w:r>
        <w:rPr>
          <w:rFonts w:ascii="Arial" w:hAnsi="Arial" w:cs="Arial"/>
        </w:rPr>
        <w:t>80.881.931/0001-85</w:t>
      </w:r>
      <w:r w:rsidRPr="001B5DAB">
        <w:rPr>
          <w:rFonts w:ascii="Arial" w:hAnsi="Arial" w:cs="Arial"/>
        </w:rPr>
        <w:t xml:space="preserve">, com sede a Avenida </w:t>
      </w:r>
      <w:r>
        <w:rPr>
          <w:rFonts w:ascii="Arial" w:hAnsi="Arial" w:cs="Arial"/>
        </w:rPr>
        <w:t xml:space="preserve">Ney </w:t>
      </w:r>
      <w:proofErr w:type="spellStart"/>
      <w:r>
        <w:rPr>
          <w:rFonts w:ascii="Arial" w:hAnsi="Arial" w:cs="Arial"/>
        </w:rPr>
        <w:t>Euirson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Napoli</w:t>
      </w:r>
      <w:proofErr w:type="spellEnd"/>
      <w:r w:rsidRPr="001B5DAB">
        <w:rPr>
          <w:rFonts w:ascii="Arial" w:hAnsi="Arial" w:cs="Arial"/>
        </w:rPr>
        <w:t xml:space="preserve">, nº </w:t>
      </w:r>
      <w:r>
        <w:rPr>
          <w:rFonts w:ascii="Arial" w:hAnsi="Arial" w:cs="Arial"/>
        </w:rPr>
        <w:t>1426</w:t>
      </w:r>
      <w:r w:rsidRPr="001B5D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Centro, </w:t>
      </w:r>
      <w:r w:rsidRPr="001B5DAB">
        <w:rPr>
          <w:rFonts w:ascii="Arial" w:hAnsi="Arial" w:cs="Arial"/>
        </w:rPr>
        <w:t>excelentíssimo senhor prefeito municipal abaixo assinado, nos termos do art. 15 da Lei Federal 8666/93 e demais normas legais aplicáveis, em face da classificação das propostas apresentadas no Pregão Presencial em epígrafe</w:t>
      </w:r>
      <w:r w:rsidRPr="00DF5A44">
        <w:t xml:space="preserve"> </w:t>
      </w:r>
      <w:r w:rsidRPr="00506BC7">
        <w:rPr>
          <w:rFonts w:ascii="Arial" w:hAnsi="Arial" w:cs="Arial"/>
          <w:b/>
        </w:rPr>
        <w:t>REGISTR</w:t>
      </w:r>
      <w:r>
        <w:rPr>
          <w:rFonts w:ascii="Arial" w:hAnsi="Arial" w:cs="Arial"/>
          <w:b/>
        </w:rPr>
        <w:t>A OS</w:t>
      </w:r>
      <w:r w:rsidRPr="00506BC7">
        <w:rPr>
          <w:rFonts w:ascii="Arial" w:hAnsi="Arial" w:cs="Arial"/>
          <w:b/>
        </w:rPr>
        <w:t xml:space="preserve"> PREÇOS</w:t>
      </w:r>
      <w:r>
        <w:rPr>
          <w:rFonts w:ascii="Arial" w:hAnsi="Arial" w:cs="Arial"/>
          <w:b/>
        </w:rPr>
        <w:t xml:space="preserve"> PARA FUTURA E EVENTUAL AQUISIÇÃ</w:t>
      </w:r>
      <w:r w:rsidRPr="00506BC7">
        <w:rPr>
          <w:rFonts w:ascii="Arial" w:hAnsi="Arial" w:cs="Arial"/>
          <w:b/>
        </w:rPr>
        <w:t xml:space="preserve">O DE PEÇAS PARA </w:t>
      </w:r>
      <w:r>
        <w:rPr>
          <w:rFonts w:ascii="Arial" w:hAnsi="Arial" w:cs="Arial"/>
          <w:b/>
        </w:rPr>
        <w:t>MANUTENÇÃO</w:t>
      </w:r>
      <w:r w:rsidRPr="00506BC7">
        <w:rPr>
          <w:rFonts w:ascii="Arial" w:hAnsi="Arial" w:cs="Arial"/>
          <w:b/>
        </w:rPr>
        <w:t xml:space="preserve"> DE VE</w:t>
      </w:r>
      <w:r>
        <w:rPr>
          <w:rFonts w:ascii="Arial" w:hAnsi="Arial" w:cs="Arial"/>
          <w:b/>
        </w:rPr>
        <w:t>Í</w:t>
      </w:r>
      <w:r w:rsidRPr="00506BC7">
        <w:rPr>
          <w:rFonts w:ascii="Arial" w:hAnsi="Arial" w:cs="Arial"/>
          <w:b/>
        </w:rPr>
        <w:t>CULOS LEVES DA FROTA MUNICIPAL</w:t>
      </w:r>
      <w:r w:rsidRPr="00DF5A44">
        <w:rPr>
          <w:b/>
        </w:rPr>
        <w:t xml:space="preserve">, </w:t>
      </w:r>
      <w:r w:rsidRPr="001B5DAB">
        <w:rPr>
          <w:rFonts w:ascii="Arial" w:hAnsi="Arial" w:cs="Arial"/>
        </w:rPr>
        <w:t>conforme o certame licitatório desta, tendo sido os referidos preços ofertados pela empresa cuja proposta foi classificada conforme segue.</w:t>
      </w:r>
    </w:p>
    <w:p w:rsidR="00B43D66" w:rsidRPr="00DF5A44" w:rsidRDefault="00B43D66" w:rsidP="00B43D66">
      <w:pPr>
        <w:pStyle w:val="ParagraphStyle"/>
        <w:jc w:val="both"/>
        <w:rPr>
          <w:b/>
        </w:rPr>
      </w:pPr>
      <w:r w:rsidRPr="00DF5A44">
        <w:t>Fazem parte desta ata de registro de preços o edital</w:t>
      </w:r>
      <w:r>
        <w:t xml:space="preserve"> e anexo constantes do Pregão P</w:t>
      </w:r>
      <w:r w:rsidRPr="00DF5A44">
        <w:t xml:space="preserve">resencial nº </w:t>
      </w:r>
      <w:r>
        <w:rPr>
          <w:b/>
        </w:rPr>
        <w:t>50</w:t>
      </w:r>
      <w:r w:rsidRPr="00DF5A44">
        <w:rPr>
          <w:b/>
          <w:bCs/>
        </w:rPr>
        <w:t>/</w:t>
      </w:r>
      <w:r>
        <w:rPr>
          <w:b/>
          <w:bCs/>
        </w:rPr>
        <w:t>2020</w:t>
      </w:r>
      <w:r w:rsidRPr="00DF5A44">
        <w:rPr>
          <w:b/>
        </w:rPr>
        <w:t>.</w:t>
      </w:r>
    </w:p>
    <w:p w:rsidR="00B43D66" w:rsidRDefault="00B43D66" w:rsidP="00B43D66">
      <w:pPr>
        <w:pStyle w:val="Centered"/>
        <w:rPr>
          <w:b/>
          <w:bCs/>
        </w:rPr>
      </w:pPr>
    </w:p>
    <w:p w:rsidR="00B43D66" w:rsidRPr="00DF5A44" w:rsidRDefault="00B43D66" w:rsidP="00B43D66">
      <w:pPr>
        <w:pStyle w:val="Centered"/>
        <w:rPr>
          <w:b/>
          <w:bCs/>
        </w:rPr>
      </w:pPr>
      <w:r w:rsidRPr="00DF5A44">
        <w:rPr>
          <w:b/>
          <w:bCs/>
        </w:rPr>
        <w:t xml:space="preserve">CLÁUSULA PRIMEIRA – CONDIÇÕES DE </w:t>
      </w:r>
      <w:r>
        <w:rPr>
          <w:b/>
          <w:bCs/>
        </w:rPr>
        <w:t>EXECUÇÃO</w:t>
      </w:r>
    </w:p>
    <w:p w:rsidR="00B43D66" w:rsidRPr="00DF5A44" w:rsidRDefault="00B43D66" w:rsidP="00B43D66">
      <w:pPr>
        <w:pStyle w:val="Centered"/>
        <w:rPr>
          <w:b/>
          <w:bCs/>
          <w:u w:val="single"/>
        </w:rPr>
      </w:pPr>
    </w:p>
    <w:p w:rsidR="00B43D66" w:rsidRPr="00DF5A44" w:rsidRDefault="00B43D66" w:rsidP="00B43D66">
      <w:pPr>
        <w:pStyle w:val="ParagraphStyle"/>
        <w:jc w:val="both"/>
      </w:pPr>
      <w:r w:rsidRPr="00DF5A44">
        <w:rPr>
          <w:b/>
          <w:bCs/>
        </w:rPr>
        <w:t>PARÁGRAFO PRIMEIRO</w:t>
      </w:r>
      <w:r w:rsidRPr="00DF5A44">
        <w:t xml:space="preserve"> – Os </w:t>
      </w:r>
      <w:r w:rsidR="00C241A2">
        <w:t>produtos</w:t>
      </w:r>
      <w:r w:rsidRPr="00DF5A44">
        <w:t xml:space="preserve"> deverão atender as quantidades e especificações constantes do Termo de Referência anexo ao Edital.</w:t>
      </w:r>
    </w:p>
    <w:p w:rsidR="00B43D66" w:rsidRPr="00DF5A44" w:rsidRDefault="00B43D66" w:rsidP="00B43D66">
      <w:pPr>
        <w:pStyle w:val="Contedodatabela"/>
        <w:snapToGrid w:val="0"/>
        <w:jc w:val="both"/>
        <w:rPr>
          <w:rFonts w:ascii="Arial" w:hAnsi="Arial" w:cs="Arial"/>
        </w:rPr>
      </w:pPr>
      <w:r w:rsidRPr="00DF5A44">
        <w:rPr>
          <w:rFonts w:ascii="Arial" w:hAnsi="Arial" w:cs="Arial"/>
          <w:b/>
          <w:bCs/>
        </w:rPr>
        <w:t>PARÁGRAFO SEGUNDO</w:t>
      </w:r>
      <w:r w:rsidRPr="00DF5A44">
        <w:rPr>
          <w:rFonts w:ascii="Arial" w:hAnsi="Arial" w:cs="Arial"/>
        </w:rPr>
        <w:t xml:space="preserve"> - Independente da aceitação o adjudicatário garantirá a qualidade dos </w:t>
      </w:r>
      <w:r w:rsidR="00C241A2">
        <w:rPr>
          <w:rFonts w:ascii="Arial" w:hAnsi="Arial" w:cs="Arial"/>
        </w:rPr>
        <w:t>produtos</w:t>
      </w:r>
      <w:r w:rsidRPr="00DF5A44">
        <w:rPr>
          <w:rFonts w:ascii="Arial" w:hAnsi="Arial" w:cs="Arial"/>
        </w:rPr>
        <w:t>.</w:t>
      </w:r>
    </w:p>
    <w:p w:rsidR="00B43D66" w:rsidRPr="00DF5A44" w:rsidRDefault="00B43D66" w:rsidP="00B43D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F5A44">
        <w:rPr>
          <w:rFonts w:ascii="Arial" w:hAnsi="Arial" w:cs="Arial"/>
          <w:b/>
          <w:bCs/>
        </w:rPr>
        <w:t>PARÁGRAFO TERCEIRO</w:t>
      </w:r>
      <w:r w:rsidRPr="00DF5A44">
        <w:rPr>
          <w:rFonts w:ascii="Arial" w:hAnsi="Arial" w:cs="Arial"/>
        </w:rPr>
        <w:t xml:space="preserve"> – A estimativa de </w:t>
      </w:r>
      <w:r>
        <w:rPr>
          <w:rFonts w:ascii="Arial" w:hAnsi="Arial" w:cs="Arial"/>
        </w:rPr>
        <w:t>contratação</w:t>
      </w:r>
      <w:r w:rsidRPr="00DF5A44">
        <w:rPr>
          <w:rFonts w:ascii="Arial" w:hAnsi="Arial" w:cs="Arial"/>
        </w:rPr>
        <w:t xml:space="preserve"> é a constante do anexo III - Termo de Referência</w:t>
      </w:r>
      <w:r>
        <w:rPr>
          <w:rFonts w:ascii="Arial" w:hAnsi="Arial" w:cs="Arial"/>
        </w:rPr>
        <w:t xml:space="preserve"> do edital</w:t>
      </w:r>
      <w:r w:rsidRPr="00DF5A44">
        <w:rPr>
          <w:rFonts w:ascii="Arial" w:hAnsi="Arial" w:cs="Arial"/>
        </w:rPr>
        <w:t>.</w:t>
      </w:r>
    </w:p>
    <w:p w:rsidR="00B43D66" w:rsidRDefault="00B43D66" w:rsidP="00B43D66">
      <w:pPr>
        <w:pStyle w:val="ParagraphStyle"/>
        <w:jc w:val="both"/>
      </w:pPr>
      <w:r w:rsidRPr="00DF5A44">
        <w:rPr>
          <w:b/>
          <w:bCs/>
        </w:rPr>
        <w:t>PARÁGRAFO QUARTO</w:t>
      </w:r>
      <w:r w:rsidRPr="00DF5A44">
        <w:t xml:space="preserve"> – A quantidade especificada no objeto não gera direito adquirido ao fornecedor, tratando-se de mera estimativa, não obrigando ao município a </w:t>
      </w:r>
      <w:r>
        <w:t>contratação</w:t>
      </w:r>
      <w:r w:rsidRPr="00DF5A44">
        <w:t xml:space="preserve"> de todo o </w:t>
      </w:r>
      <w:r>
        <w:t>serviço</w:t>
      </w:r>
      <w:r w:rsidRPr="00DF5A44">
        <w:t>, durante a vigência da ata;</w:t>
      </w:r>
    </w:p>
    <w:p w:rsidR="00B43D66" w:rsidRPr="00A57D87" w:rsidRDefault="00B43D66" w:rsidP="00B43D66">
      <w:pPr>
        <w:jc w:val="both"/>
        <w:rPr>
          <w:rFonts w:ascii="Arial" w:hAnsi="Arial" w:cs="Arial"/>
        </w:rPr>
      </w:pPr>
      <w:r w:rsidRPr="00571631">
        <w:rPr>
          <w:rFonts w:ascii="Arial" w:hAnsi="Arial" w:cs="Arial"/>
          <w:b/>
          <w:color w:val="000000"/>
        </w:rPr>
        <w:t xml:space="preserve">PARAGRAFO QUINTO - </w:t>
      </w:r>
      <w:r w:rsidRPr="00571631">
        <w:rPr>
          <w:rFonts w:ascii="Arial" w:hAnsi="Arial" w:cs="Arial"/>
        </w:rPr>
        <w:t xml:space="preserve">Os </w:t>
      </w:r>
      <w:r w:rsidR="00C241A2">
        <w:rPr>
          <w:rFonts w:ascii="Arial" w:hAnsi="Arial" w:cs="Arial"/>
        </w:rPr>
        <w:t xml:space="preserve">produtos </w:t>
      </w:r>
      <w:r w:rsidRPr="00571631">
        <w:rPr>
          <w:rFonts w:ascii="Arial" w:hAnsi="Arial" w:cs="Arial"/>
        </w:rPr>
        <w:t xml:space="preserve">deverão ser </w:t>
      </w:r>
      <w:r w:rsidR="00C241A2">
        <w:rPr>
          <w:rFonts w:ascii="Arial" w:hAnsi="Arial" w:cs="Arial"/>
        </w:rPr>
        <w:t>entregues</w:t>
      </w:r>
      <w:r w:rsidRPr="00571631">
        <w:rPr>
          <w:rFonts w:ascii="Arial" w:hAnsi="Arial" w:cs="Arial"/>
        </w:rPr>
        <w:t xml:space="preserve"> mediante a ordem de compra da administração.</w:t>
      </w:r>
    </w:p>
    <w:p w:rsidR="00B43D66" w:rsidRPr="00571631" w:rsidRDefault="00B43D66" w:rsidP="00B43D66">
      <w:pPr>
        <w:jc w:val="both"/>
        <w:rPr>
          <w:rFonts w:ascii="Arial" w:hAnsi="Arial" w:cs="Arial"/>
        </w:rPr>
      </w:pPr>
      <w:r w:rsidRPr="00A57D87">
        <w:rPr>
          <w:rFonts w:ascii="Arial" w:hAnsi="Arial" w:cs="Arial"/>
          <w:b/>
        </w:rPr>
        <w:t xml:space="preserve">PARAGRAFO SEXTO - </w:t>
      </w:r>
      <w:r w:rsidRPr="00A57D87">
        <w:rPr>
          <w:rFonts w:ascii="Arial" w:hAnsi="Arial" w:cs="Arial"/>
          <w:color w:val="000000"/>
        </w:rPr>
        <w:t>A empresa deverá dispor de ferramentas, mão-de-obra, e equipamentos necessários para desenvolvimento de todo o trabalho solicitado</w:t>
      </w:r>
      <w:r w:rsidRPr="00571631">
        <w:rPr>
          <w:rFonts w:ascii="Arial" w:hAnsi="Arial" w:cs="Arial"/>
        </w:rPr>
        <w:t>.</w:t>
      </w:r>
    </w:p>
    <w:p w:rsidR="00B43D66" w:rsidRPr="00601257" w:rsidRDefault="00B43D66" w:rsidP="00B43D66">
      <w:pPr>
        <w:pStyle w:val="ParagraphStyle"/>
        <w:jc w:val="both"/>
        <w:rPr>
          <w:color w:val="000000"/>
        </w:rPr>
      </w:pPr>
      <w:r>
        <w:rPr>
          <w:b/>
        </w:rPr>
        <w:t>PARÁGRAFO SÉTIMO</w:t>
      </w:r>
      <w:r w:rsidRPr="00601257">
        <w:rPr>
          <w:b/>
        </w:rPr>
        <w:t xml:space="preserve"> </w:t>
      </w:r>
      <w:r w:rsidRPr="00601257">
        <w:rPr>
          <w:color w:val="000000"/>
        </w:rPr>
        <w:t>- Os produtos/serviços deverão ser entregues no Município contratante, sendo que tais despesas correm por conta da empresa contratada.</w:t>
      </w:r>
    </w:p>
    <w:p w:rsidR="00B43D66" w:rsidRPr="00601257" w:rsidRDefault="00B43D66" w:rsidP="00B43D66">
      <w:pPr>
        <w:pStyle w:val="ParagraphStyle"/>
        <w:jc w:val="both"/>
        <w:rPr>
          <w:color w:val="000000"/>
        </w:rPr>
      </w:pPr>
      <w:r>
        <w:rPr>
          <w:b/>
          <w:color w:val="000000"/>
        </w:rPr>
        <w:t>PARÁGRAFO OITAVO</w:t>
      </w:r>
      <w:r w:rsidRPr="00601257">
        <w:rPr>
          <w:color w:val="000000"/>
        </w:rPr>
        <w:t xml:space="preserve"> – Caso seja necessária remoção do veículo para conserto em outro local, isto poderá ser feito com autorização do Município, contudo a despesa de remoção e devolução do veículo correm por conta da contratada.</w:t>
      </w:r>
    </w:p>
    <w:p w:rsidR="00B43D66" w:rsidRPr="00601257" w:rsidRDefault="00B43D66" w:rsidP="00B43D66">
      <w:pPr>
        <w:pStyle w:val="ParagraphStyle"/>
        <w:jc w:val="both"/>
        <w:rPr>
          <w:color w:val="000000"/>
        </w:rPr>
      </w:pPr>
      <w:r>
        <w:rPr>
          <w:b/>
          <w:color w:val="000000"/>
        </w:rPr>
        <w:t>PARÁGRAFO NONO</w:t>
      </w:r>
      <w:r w:rsidRPr="00601257">
        <w:rPr>
          <w:b/>
          <w:color w:val="000000"/>
        </w:rPr>
        <w:t xml:space="preserve"> – </w:t>
      </w:r>
      <w:r w:rsidRPr="00601257">
        <w:rPr>
          <w:color w:val="000000"/>
        </w:rPr>
        <w:t>As peças deverão ser originais e/ou paralelas de primeira linha.</w:t>
      </w:r>
    </w:p>
    <w:p w:rsidR="00B43D66" w:rsidRPr="00A57D87" w:rsidRDefault="00B43D66" w:rsidP="00B43D66">
      <w:pPr>
        <w:pStyle w:val="ParagraphStyle"/>
        <w:jc w:val="both"/>
        <w:rPr>
          <w:color w:val="000000"/>
        </w:rPr>
      </w:pPr>
      <w:r>
        <w:rPr>
          <w:b/>
          <w:color w:val="000000"/>
        </w:rPr>
        <w:t>PARÁGRAFO DÉCIMO</w:t>
      </w:r>
      <w:r w:rsidRPr="00A57D87">
        <w:rPr>
          <w:b/>
          <w:color w:val="000000"/>
        </w:rPr>
        <w:t xml:space="preserve"> </w:t>
      </w:r>
      <w:r>
        <w:rPr>
          <w:b/>
          <w:color w:val="000000"/>
        </w:rPr>
        <w:t>–</w:t>
      </w:r>
      <w:r w:rsidRPr="00A57D87">
        <w:rPr>
          <w:b/>
          <w:color w:val="000000"/>
        </w:rPr>
        <w:t xml:space="preserve"> </w:t>
      </w:r>
      <w:r>
        <w:rPr>
          <w:color w:val="000000"/>
        </w:rPr>
        <w:t>A empresa deverá dispor de ferramentas, mão-de-obra, e equipamentos necessários para desenvolvimento de todo o trabalho solicitado.</w:t>
      </w:r>
    </w:p>
    <w:p w:rsidR="00B43D66" w:rsidRPr="00DF5A44" w:rsidRDefault="00B43D66" w:rsidP="00B43D66">
      <w:pPr>
        <w:pStyle w:val="Centered"/>
        <w:rPr>
          <w:b/>
          <w:bCs/>
        </w:rPr>
      </w:pPr>
      <w:r w:rsidRPr="00DF5A44">
        <w:rPr>
          <w:b/>
          <w:bCs/>
        </w:rPr>
        <w:lastRenderedPageBreak/>
        <w:t>CLÁUSULA SEGUNDA – CLASSIFICAÇÃO</w:t>
      </w:r>
    </w:p>
    <w:p w:rsidR="00B43D66" w:rsidRPr="00DF5A44" w:rsidRDefault="00B43D66" w:rsidP="00B43D66">
      <w:pPr>
        <w:pStyle w:val="Centered"/>
        <w:rPr>
          <w:b/>
          <w:bCs/>
          <w:u w:val="single"/>
        </w:rPr>
      </w:pPr>
    </w:p>
    <w:p w:rsidR="00B43D66" w:rsidRPr="00DF5A44" w:rsidRDefault="00B43D66" w:rsidP="00B43D66">
      <w:pPr>
        <w:pStyle w:val="ParagraphStyle"/>
        <w:jc w:val="both"/>
        <w:rPr>
          <w:b/>
          <w:bCs/>
        </w:rPr>
      </w:pPr>
      <w:r w:rsidRPr="00DF5A44">
        <w:rPr>
          <w:b/>
          <w:bCs/>
        </w:rPr>
        <w:t>Empresa detentora do direito de preferência para os itens conforme segue:</w:t>
      </w:r>
    </w:p>
    <w:p w:rsidR="00B43D66" w:rsidRDefault="00B43D66" w:rsidP="00B43D66">
      <w:pPr>
        <w:pStyle w:val="ParagraphStyle"/>
        <w:tabs>
          <w:tab w:val="left" w:pos="4130"/>
          <w:tab w:val="center" w:pos="4425"/>
          <w:tab w:val="right" w:pos="8835"/>
        </w:tabs>
        <w:jc w:val="both"/>
        <w:rPr>
          <w:b/>
          <w:bCs/>
        </w:rPr>
      </w:pPr>
      <w:r>
        <w:rPr>
          <w:b/>
          <w:bCs/>
        </w:rPr>
        <w:t>EMPRESA: MECÂNICA TOBALDINI LTDA - ME.</w:t>
      </w:r>
    </w:p>
    <w:p w:rsidR="00B43D66" w:rsidRDefault="00B43D66" w:rsidP="00B43D66">
      <w:pPr>
        <w:pStyle w:val="ParagraphStyle"/>
        <w:tabs>
          <w:tab w:val="left" w:pos="4130"/>
          <w:tab w:val="center" w:pos="4425"/>
          <w:tab w:val="right" w:pos="8835"/>
        </w:tabs>
        <w:jc w:val="both"/>
        <w:rPr>
          <w:b/>
          <w:bCs/>
        </w:rPr>
      </w:pPr>
      <w:r>
        <w:rPr>
          <w:b/>
          <w:bCs/>
        </w:rPr>
        <w:t>ENDEREÇO: RUA PRIMEIRO DE MAIO, 136, CENTRO, IBEMA - PARANÁ</w:t>
      </w:r>
    </w:p>
    <w:p w:rsidR="00B43D66" w:rsidRDefault="00B43D66" w:rsidP="00B43D66">
      <w:pPr>
        <w:pStyle w:val="ParagraphStyle"/>
        <w:tabs>
          <w:tab w:val="center" w:pos="4425"/>
          <w:tab w:val="right" w:pos="8835"/>
        </w:tabs>
        <w:jc w:val="both"/>
        <w:rPr>
          <w:b/>
          <w:bCs/>
        </w:rPr>
      </w:pPr>
      <w:r>
        <w:rPr>
          <w:b/>
          <w:bCs/>
        </w:rPr>
        <w:t>CNPJ: 80.601.008/0001-42.</w:t>
      </w:r>
    </w:p>
    <w:p w:rsidR="00B43D66" w:rsidRDefault="00B43D66" w:rsidP="00B43D66">
      <w:pPr>
        <w:pStyle w:val="ParagraphStyle"/>
        <w:tabs>
          <w:tab w:val="center" w:pos="4425"/>
          <w:tab w:val="right" w:pos="8835"/>
        </w:tabs>
        <w:jc w:val="both"/>
        <w:rPr>
          <w:b/>
          <w:bCs/>
        </w:rPr>
      </w:pPr>
      <w:r>
        <w:rPr>
          <w:b/>
          <w:bCs/>
        </w:rPr>
        <w:t>REPRESENTANTE LEGAL: SERGIO ANTONIO TOBALDINI</w:t>
      </w:r>
    </w:p>
    <w:p w:rsidR="00B43D66" w:rsidRDefault="00B43D66" w:rsidP="00B43D66">
      <w:pPr>
        <w:pStyle w:val="ParagraphStyle"/>
        <w:tabs>
          <w:tab w:val="center" w:pos="4425"/>
          <w:tab w:val="right" w:pos="8835"/>
        </w:tabs>
        <w:jc w:val="both"/>
        <w:rPr>
          <w:b/>
          <w:bCs/>
        </w:rPr>
      </w:pPr>
      <w:r>
        <w:rPr>
          <w:b/>
          <w:bCs/>
        </w:rPr>
        <w:t xml:space="preserve">CPF: </w:t>
      </w:r>
      <w:r>
        <w:rPr>
          <w:b/>
        </w:rPr>
        <w:t>580.753.489-15</w:t>
      </w:r>
    </w:p>
    <w:p w:rsidR="00B43D66" w:rsidRPr="00DF5A44" w:rsidRDefault="00B43D66" w:rsidP="00B43D66">
      <w:pPr>
        <w:pStyle w:val="ParagraphStyle"/>
        <w:tabs>
          <w:tab w:val="center" w:pos="4425"/>
          <w:tab w:val="right" w:pos="8835"/>
        </w:tabs>
        <w:jc w:val="both"/>
        <w:rPr>
          <w:b/>
          <w:bCs/>
        </w:rPr>
      </w:pPr>
    </w:p>
    <w:tbl>
      <w:tblPr>
        <w:tblW w:w="86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0"/>
        <w:gridCol w:w="3081"/>
        <w:gridCol w:w="680"/>
        <w:gridCol w:w="1180"/>
        <w:gridCol w:w="700"/>
        <w:gridCol w:w="1060"/>
        <w:gridCol w:w="1280"/>
      </w:tblGrid>
      <w:tr w:rsidR="00B43D66" w:rsidTr="00B43D66">
        <w:trPr>
          <w:trHeight w:val="2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LOTE</w:t>
            </w:r>
          </w:p>
        </w:tc>
        <w:tc>
          <w:tcPr>
            <w:tcW w:w="7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VEICULO (Peças)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FORD KA SEDAN (2)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Total 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Jogo cabo velas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MARELLI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134,0004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268,00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Bomba óleo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ANROI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595,5575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1.191,12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Correia alternador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GATES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29,7779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59,56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Correia comando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GATES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49,6298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99,26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Jogo velas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BOSCH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143,9264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287,85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Válvula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termostatica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M.T.E.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218,3711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436,74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Carcaça válvula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termostatica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M.T.E.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183,6302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367,26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 bomba d’água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AJE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79,4077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158,82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Bomba água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INDISA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372,2234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744,45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Mangueira ar quente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M.G.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109,1855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436,74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Anti-chama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AJE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31,7631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63,53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Bobina ignição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MARELLI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456,5941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913,19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Tensor correia alternador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NITRON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78,4151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313,66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Tensor correia dentada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NITRON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168,7413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337,48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Sensor rotação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M.T.E.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140,9486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281,90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Mangueira superior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79,4077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158,82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Radiador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VALEO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516,1498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1.032,30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Tucho válvulas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RIO SUKNCE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24,8149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794,08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Bomba combustível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CLASS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228,2970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456,59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Junta tampa válvulas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70,4743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140,95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Junta cabeçote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TARANTO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223,3340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446,67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roda traseira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102,2374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408,95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Sapata freio traseira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SYL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248,1489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992,60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Jogo pastilha freio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SYL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282,8898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565,78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Coifa lado roda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32,7557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          131,02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Coifa lado câmbio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29,7779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119,11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Homocinetica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193,5562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387,11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Reparo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trambulador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KIT CIA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54,5928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109,19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Rolamento cubo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352,3715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1.409,49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Rolamento cubo traseiro externo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84,3706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337,48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Rolamento cubo dianteiro interno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87,3484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349,39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mestre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218,3711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436,74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Amortecedor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CORVEN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526,0758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2.104,30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Amortecedor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CORVEN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421,8532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1.687,41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Bandeja suspensão dianteira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550,8907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2.203,56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Bucha eixo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AXIOS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84,3706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337,48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Retentor cubo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27,7927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111,17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Pivô suspensão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148,8894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595,56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Kit batente amortecedor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416,8902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833,78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Kit batente amortecedor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387,1124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774,22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Cabo embreagem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ZUBA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119,1115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238,22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Terminal direção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DRIVEJ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143,9264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575,71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Silencioso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610,4464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1.220,89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 escapamento intermediário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268,0009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536,00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DO LOTE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25.454,13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FORD KA HATCH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Total 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Jogo cabo velas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MARELLI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132,4373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132,44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Bomba óleo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ANROI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637,6613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637,66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Correia alternador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GATES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27,4685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27,47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Correia comando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GATES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49,0509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49,05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Jogo velas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BOSCH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240,3492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240,35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Válvula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termostatica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M.T.E.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220,7289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220,73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Carcaça válvula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termostatica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M.T.E.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171,6780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171,68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 bomba d’água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AJE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75,5383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75,54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Bomba água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INDISA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358,0713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358,07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Mangueira ar quente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107,9119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215,82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Anti-chama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AJE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35,3166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35,32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Bobina ignição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MARELLI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348,2611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348,26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Tensor correia alternador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NITRON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73,5763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147,15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Tensor correia dentada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NITRON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184,4313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184,43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Sensor rotação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M.T.E.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147,1526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147,15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Mangueira superior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75,5383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75,54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Radiador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VALEO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529,7494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529,75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Tucho válvulas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RIO SUKNCE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21,5824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345,32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Bomba combustível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CLASS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250,1594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250,16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Junta tampa válvulas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53,9560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53,96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Junta cabeçote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RARANTO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215,8238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215,82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roda traseira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32,3736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64,75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Sapata freio traseira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SYL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259,9696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519,94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Jogo pastilha freio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SYL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279,5899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279,59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Coifa lado roda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23,5444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47,09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Coifa lado câmbio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28,4495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56,90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Homocinetica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176,5831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176,58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Reparo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trambulador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KIT CIA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53,9560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53,96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Rolamento cubo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348,2611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696,52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Rolamento cubo traseiro externo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647,4714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1.294,94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Rolamento cubo dianteiro interno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196,2035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392,41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mestre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225,6340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225,63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Amortecedor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CORVEN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539,5595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1.079,12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Amortecedor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CORVEN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480,6985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961,40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Bandeja suspensão dianteira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539,5595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1.079,12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Bucha eixo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AXIOS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86,3295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172,66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Retentor cubo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166,7729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333,55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Pivô suspensão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147,1526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294,31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Kit batente amortecedor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461,0781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461,08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Kit batente amortecedor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377,6917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377,69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Cabo embreagem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TVBA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117,7221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117,72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Terminal direção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DRIVEY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132,4373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264,87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Silencioso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608,2307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608,23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 escapamento intermediário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274,6848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274,68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DO LOTE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14.294,40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AIR CROSS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Total 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Sapata freio traseira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FASLE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432,7600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432,76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Mola suspensão traseira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393,4426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786,89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 freio roda traseira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88,5246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177,05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Flexível do freio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44,2623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88,52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Coxim cambio inferior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147,5410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147,54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Cubo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457,3770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914,75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Jogo velas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iridium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NGK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304,9180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304,92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Bobina ignição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NGK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427,8689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1.711,48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Kit correia dentada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GATES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767,2131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767,21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coxim motor lado direito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491,8033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983,61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coxim motor lado esquerdo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491,8033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983,61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Bieleta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118,0328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236,07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Rolamento cubo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NSK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344,2623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344,26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Pastilha freio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FRASLE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373,7705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747,54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Pivô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177,0492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354,10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Barra axial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127,8689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255,74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Terminal direção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152,4590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304,92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Bucha bandeja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147,5410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590,16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Homocinetica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lado roda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540,9836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540,98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Coifa lado cambio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59,0164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59,02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Coifa lado roda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59,0164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59,02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Amortecedor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CORVEN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904,9180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1.809,84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Amortecedor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CORVEN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447,5410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895,08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embreagem auxiliar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231,1475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462,30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pedal embreagem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270,4918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540,98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Kit embreagem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934,4262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934,43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Correia serviço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GATES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108,1967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216,39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Tensor correia de serviço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NITRON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98,3607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196,72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15.845,88 </w:t>
            </w:r>
          </w:p>
        </w:tc>
      </w:tr>
      <w:tr w:rsidR="00B43D66" w:rsidTr="00B43D66">
        <w:trPr>
          <w:trHeight w:val="225"/>
        </w:trPr>
        <w:tc>
          <w:tcPr>
            <w:tcW w:w="8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DUCATO - 4 VEÍCULOS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Total 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Disco freio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FREMAX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243,2686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2.919,22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Pastilha freio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LONAFLEX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198,5866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2.383,04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Cabo freio de mão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TVBA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173,7633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173,76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Amortecedor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774,4879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4.646,93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Rolamento roda dianteira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347,5266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2.085,16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Jogo de bico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3.971,7327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3.971,73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Kit amortecedor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516,3253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3.097,95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Pivô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163,8340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655,34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Terminal direção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153,9046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615,62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Homocinetica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eixo completo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1.668,1277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3.336,26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Kit turbina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GARRETI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3.971,7327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3.971,73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Parafuso de roda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ORIG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31,7739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254,19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Correia do alternador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GATES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65,5336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131,07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Radiador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VALEO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1.390,1064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1.390,11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Correia dentada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GATES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397,1733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1.191,52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Kit mola traseira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784,4172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1.568,83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Reservatorio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 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>água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GONEL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377,3146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377,31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Mangueiras do radiador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282,9860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282,99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Tensor da correia dentada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NITRON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307,8093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923,43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Mangueira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intercooler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GATES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347,5266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347,53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Servo freio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2.482,3329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2.482,33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Bomba vácuo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NTN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3.276,6795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3.276,68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Bomba de alta pressão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BOSCH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4.319,2593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4.319,26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Prato mola dianteira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ORIG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178,7280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714,91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Coxim amortecedor dianteiro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342,5619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2.740,50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Flexível freio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99,2933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397,17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Cabo embreagem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228,3746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456,75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Bucha mola traseira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85,3923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1.366,28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Amortecedor traseiro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CORVEN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446,8199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2.680,92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cubo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FREMAX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516,3253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2.065,30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jogo sapata freio de mão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FRASLE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218,4453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436,89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disco freio traseiro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FREMAX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352,4913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1.409,97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bucha bandeja dianteira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AXIOS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153,9460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923,68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bucha bandeja traseira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AXIOS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238,3040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1.429,82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Coifa eixo lado cambio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102,2721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409,09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Coifa eixo lado roda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87,3781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349,51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Homocinetica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aro 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347,5266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1.390,11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homocinetica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aro 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377,3146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1.509,26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calço pastilha freio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61,5619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369,37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kit embreagem 2.8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ZUK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1.787,2797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7.149,12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coxim motor lado esquerdo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347,5266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695,05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coxim motor lado direito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446,8199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893,64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coxim filtro 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TECFIL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19,8587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158,87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suporte filtro combustível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ORIG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1.687,9864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3.375,97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junta cabeçote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297,8800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595,76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jogo de junta superior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317,7386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635,48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junta tampa válvula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74,4700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148,94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válvula escape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M. LEVE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99,2933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794,35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válvula admissão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M. LEVE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109,2226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873,78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válvula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termostatica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M. T. E.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139,0106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278,02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tucho 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>válvulas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RIO SUKNCE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139,0106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1.112,08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retentor comando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54,6113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109,22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vedador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>válvulas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57,5901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460,72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 w:rsidP="000829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calço regulage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 xml:space="preserve">m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>válvula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NTW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61,5619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492,50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correia 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GATES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150,9258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301,85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barra axial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109,2226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436,89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coifa caixa direção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39,7173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158,87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kit do amortecedor traseiro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146,9541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293,91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0829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válvula</w:t>
            </w:r>
            <w:r w:rsidR="00B43D66">
              <w:rPr>
                <w:rFonts w:ascii="Arial" w:hAnsi="Arial" w:cs="Arial"/>
                <w:color w:val="000000"/>
                <w:sz w:val="16"/>
                <w:szCs w:val="16"/>
              </w:rPr>
              <w:t xml:space="preserve"> anti-chama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AJE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228,3746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456,75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interruptor de temperatura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M. T. E.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173,7633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347,53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bieleta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dianteira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188,6573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377,31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sensor rotação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M. T. E.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814,2052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1.628,41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bomba de direção 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>hidráulica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1.985,8664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3.971,73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mola helicoidal dianteira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794,3465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1.588,69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bomba de 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>água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VRBA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774,4879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1.548,98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freio mestre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595,7599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1.191,52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Caixa direção 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>hidráulica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AMPRI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3.375,9728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3.375,97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DO LOTE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96.503,42 </w:t>
            </w:r>
          </w:p>
        </w:tc>
      </w:tr>
      <w:tr w:rsidR="00B43D66" w:rsidTr="00B43D66">
        <w:trPr>
          <w:trHeight w:val="225"/>
        </w:trPr>
        <w:tc>
          <w:tcPr>
            <w:tcW w:w="8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TOYOTA - bandeirantes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Total 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Amortecedor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CORVEN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253,1000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506,20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Amortecedor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CORVEN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258,0713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516,14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Jogo lona de freio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LONA FLEX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79,4065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158,81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Cabo freio mão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153,8502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153,85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Jogo de mola traseira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426,8102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853,62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Jogo de mola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451,6247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903,25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Kit sincronizado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M. 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337,4778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337,48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Engrenagem 1º marcha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EATON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595,5491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595,55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Terminal direção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DRIVY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158,8131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317,63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Bomba manual do 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>combustível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KOBLA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119,1098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119,11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Cruzeta carda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MERITOR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77,4214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154,84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Cruzeta carda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MERITOR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77,4214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154,84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Jumelo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138,9614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555,85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Rolamento roda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357,3294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714,66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Flexível freio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LUCIFLEX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109,1840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436,74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mestre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535,9941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535,99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Servo freio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873,4719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873,47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Mangueira radiador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GATES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89,3324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268,00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Pino de centro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PIAVA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20,8442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83,38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Correia alternador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GATES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54,5920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54,59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Coroa e pinhão do diferencial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1.687,3890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1.687,39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Kit barra direção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SRL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377,1811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377,18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Bomba da 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>água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VRBA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545,9200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545,92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Suporte do radiador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133,9985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134,00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Junta da tampa das 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>válvulas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79,4065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79,41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Junta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carter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70,4733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70,47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Prisioneiro de roda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 CRUZ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19,8516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198,52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Suporte da caixa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406,9585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406,96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Grampo de mola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 CRUZ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74,4436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446,66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Válvula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termostatica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168,7389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          168,74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DO LOTE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12.409,24 </w:t>
            </w:r>
          </w:p>
        </w:tc>
      </w:tr>
      <w:tr w:rsidR="00B43D66" w:rsidTr="00B43D66">
        <w:trPr>
          <w:trHeight w:val="225"/>
        </w:trPr>
        <w:tc>
          <w:tcPr>
            <w:tcW w:w="8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RENAULT MASTER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Total 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Disco freio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HIPER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354,9350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1.419,74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Disco freio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HIPER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299,9467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1.199,79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pastilha de freio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FRASLE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199,9645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399,93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pastilha de freio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COBRER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309,9449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619,89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Cabo freio de mão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146,9739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587,90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Amortecedor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649,8845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2.599,54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Rolamento roda dianteira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459,9182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1.839,67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bico injetor 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>combustível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motor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BOSCH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1.699,6978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6.798,79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0829FB" w:rsidP="000829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pivô</w:t>
            </w:r>
            <w:r w:rsidR="00B43D66">
              <w:rPr>
                <w:rFonts w:ascii="Arial" w:hAnsi="Arial" w:cs="Arial"/>
                <w:color w:val="000000"/>
                <w:sz w:val="16"/>
                <w:szCs w:val="16"/>
              </w:rPr>
              <w:t xml:space="preserve"> bra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ç</w:t>
            </w:r>
            <w:r w:rsidR="00B43D66">
              <w:rPr>
                <w:rFonts w:ascii="Arial" w:hAnsi="Arial" w:cs="Arial"/>
                <w:color w:val="000000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suspensão</w:t>
            </w:r>
            <w:r w:rsidR="00B43D66">
              <w:rPr>
                <w:rFonts w:ascii="Arial" w:hAnsi="Arial" w:cs="Arial"/>
                <w:color w:val="000000"/>
                <w:sz w:val="16"/>
                <w:szCs w:val="16"/>
              </w:rPr>
              <w:t xml:space="preserve"> superior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VIEMAR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239,9573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959,83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0829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pivô</w:t>
            </w:r>
            <w:r w:rsidR="00B43D66">
              <w:rPr>
                <w:rFonts w:ascii="Arial" w:hAnsi="Arial" w:cs="Arial"/>
                <w:color w:val="000000"/>
                <w:sz w:val="16"/>
                <w:szCs w:val="16"/>
              </w:rPr>
              <w:t xml:space="preserve"> braço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suspensão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VIEMAR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249,9556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499,91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braço 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>direção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veiculo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VIEMAR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379,9325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759,87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semi eixo de transmissão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ORING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1.599,7156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3.199,43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Parafuso de aço da roda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 CRUZ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29,9947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239,96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kit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belt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tensioner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accessory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DAYCO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849,8489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1.699,70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radiador motor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VISCONDE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1.699,6978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3.399,40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kit correia dentada 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DAYCO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859,8471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1.719,69 </w:t>
            </w:r>
          </w:p>
        </w:tc>
      </w:tr>
      <w:tr w:rsidR="00B43D66" w:rsidTr="00B43D66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mola de folha 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>suspensão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traseira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ORING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609,8916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1.219,78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trava de engate da marcha ré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ORING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549,9022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1.099,80 </w:t>
            </w:r>
          </w:p>
        </w:tc>
      </w:tr>
      <w:tr w:rsidR="00B43D66" w:rsidTr="00B43D66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0829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Reservatório</w:t>
            </w:r>
            <w:r w:rsidR="00B43D6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expansão do motor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399,9289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799,86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trocador de calor tubular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ORING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1.349,7600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2.699,52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Kit embreagem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2.299,5912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4.599,18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DO LOTE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38.361,17 </w:t>
            </w:r>
          </w:p>
        </w:tc>
      </w:tr>
      <w:tr w:rsidR="00B43D66" w:rsidTr="00B43D66">
        <w:trPr>
          <w:trHeight w:val="225"/>
        </w:trPr>
        <w:tc>
          <w:tcPr>
            <w:tcW w:w="8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MB SPRINTER - 2 VEÍCULOS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Total 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pastilha freio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LONA FLEX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443,3525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1.773,41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disco freio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FREMAX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591,1330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2.364,53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sensor de desgaste freio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ORING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59,1133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236,45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tensor correia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GATES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591,1330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1.182,27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amortecedor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MONROG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1.182,2660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2.364,53 </w:t>
            </w:r>
          </w:p>
        </w:tc>
      </w:tr>
      <w:tr w:rsidR="00B43D66" w:rsidTr="00B43D66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rolo tensor da correia bomba 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>d’água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295,5665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591,13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Conjunto 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>combustível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completo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TECFIL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719,2118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1.438,42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Elemento filtro 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>óleo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TECFIL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315,2709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630,54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0829FB" w:rsidP="000829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Elemento </w:t>
            </w:r>
            <w:r w:rsidR="00B43D66">
              <w:rPr>
                <w:rFonts w:ascii="Arial" w:hAnsi="Arial" w:cs="Arial"/>
                <w:color w:val="000000"/>
                <w:sz w:val="16"/>
                <w:szCs w:val="16"/>
              </w:rPr>
              <w:t>do filtro de 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TECFIL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177,3399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354,68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Suporte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cardãn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 CRUZ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837,4384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837,44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Cruzeta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251,2315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1.004,93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Kit embreagem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2.364,5320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4.729,06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Atuador embreagem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729,0640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729,06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Volante embreagem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2.660,0985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2.660,10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Terminal direção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206,8966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413,79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barra axial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ORING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344,8276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689,66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0829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Pivô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256,1576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512,32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Bomba d' água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VRBA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935,9606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935,96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Coxim câmbio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1.083,7438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1.083,74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Semi eixo dianteiro direito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1.477,8325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1.477,83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Coxim amortecedor dianteiro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837,4384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1.674,88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Semi eixo dianteiro esquerdo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1.773,3990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1.773,40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DO LOTE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29.458,14 </w:t>
            </w:r>
          </w:p>
        </w:tc>
      </w:tr>
      <w:tr w:rsidR="00B43D66" w:rsidTr="00B43D66">
        <w:trPr>
          <w:trHeight w:val="225"/>
        </w:trPr>
        <w:tc>
          <w:tcPr>
            <w:tcW w:w="8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LOGAN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Total 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freio roda traseira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68,0787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136,16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Rolamento cubo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CORTCCO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194,5105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389,02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Jogo pastilha de freio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LONA FLEX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145,8829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145,88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Amortecedor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291,7657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583,53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Amortecedor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466,8252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933,65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Bucha eixo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63,2159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63,22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Cabo freio de mão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87,5297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87,53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Bucha bandeja dianteira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85,5846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171,17 </w:t>
            </w:r>
          </w:p>
        </w:tc>
      </w:tr>
      <w:tr w:rsidR="00B43D66" w:rsidTr="00B43D66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Bucha bandeja dianteira parte traseira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116,7063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233,41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Pivô suspensão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116,7063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233,41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Bieleta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48,6276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97,26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Terminal direção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ORIGIN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97,2552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194,51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Coxim amortecedor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131,2946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262,59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Kit haste amortecedor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87,5297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175,06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Coifa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homocinetica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lado roda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48,6276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97,26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Coifa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homocinetica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lado  cambio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90,4474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180,89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Homocinetica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223,6871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447,37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Rolamento cubo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194,5105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389,02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Disco freio ventilado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FREMAX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97,2552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194,51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Flexível freio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58,3531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116,71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mestre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291,7657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291,77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Tampa reservatório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CLIK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72,9414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72,94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Reservatório d'água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GONEL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330,6678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330,67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Correia dentada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GATES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252,8636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252,86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Correia alternador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GATES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77,8042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77,80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Tensor correia dentada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NITRON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175,0594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175,06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Tensor correia alternador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NITRON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68,0787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68,08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Válvula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termostática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M. T. E.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175,0594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175,06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Jogo velas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BOSCH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204,2360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204,24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Bomba combustível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.M. MARRILLI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277,1774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277,18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Jogo cabo velas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330,6678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330,67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sapata freio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FRASLE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252,8636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252,86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0829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válvula</w:t>
            </w:r>
            <w:r w:rsidR="00B43D66">
              <w:rPr>
                <w:rFonts w:ascii="Arial" w:hAnsi="Arial" w:cs="Arial"/>
                <w:color w:val="000000"/>
                <w:sz w:val="16"/>
                <w:szCs w:val="16"/>
              </w:rPr>
              <w:t xml:space="preserve"> escape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EATON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228,5498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228,55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0829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válvula</w:t>
            </w:r>
            <w:r w:rsidR="00B43D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admissão</w:t>
            </w:r>
            <w:r w:rsidR="00B43D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EATON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223,6871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223,69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vedador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>válvula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75,8591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606,87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retentor comando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58,3531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58,35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alavanca freio de mão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ORING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116,7063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116,71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junta cabeçote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238,2753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238,28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barra axial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121,5691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243,14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 fluxo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AJE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58,3531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58,35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sensor temperatura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M. T. E.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138,1024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138,10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radiador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VISCONDE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447,3741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447,37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coxim motor lado direito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243,1381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243,14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coxim motor lado esquerdo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233,4126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233,41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kit embreagem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622,4335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622,43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embreagem auxiliar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204,2360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204,24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pedal embreagem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238,2753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238,28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DO LOTE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11.542,25 </w:t>
            </w:r>
          </w:p>
        </w:tc>
      </w:tr>
      <w:tr w:rsidR="00B43D66" w:rsidTr="00B43D66">
        <w:trPr>
          <w:trHeight w:val="225"/>
        </w:trPr>
        <w:tc>
          <w:tcPr>
            <w:tcW w:w="8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OROCH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Total 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freio roda traseira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88,1518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176,30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Rolamento cubo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323,2231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646,45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Jogo pastilha de freio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LONA FLEX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342,8124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342,81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Amortecedor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519,1159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1.038,23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Amortecedor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538,7051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1.077,41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Bucha eixo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112,6383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225,28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Cabo freio de mão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FANIA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176,3035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176,30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Bucha bandeja dianteira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166,5089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333,02 </w:t>
            </w:r>
          </w:p>
        </w:tc>
      </w:tr>
      <w:tr w:rsidR="00B43D66" w:rsidTr="00B43D66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Bucha bandeja dianteira parte traseira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186,0981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372,20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Pivô suspensão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244,8660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489,73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Bieleta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78,3571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156,71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Terminal direção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146,9196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293,84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Coxim amortecedor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445,6561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891,31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Kit haste amortecedor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107,7410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215,48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Coifa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homocinetica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lado roda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78,3571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156,71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Coifa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homocinetica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lado  cambio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117,5357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235,07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Homocinetica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333,0177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666,04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Rolamento cubo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IVSK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411,3748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822,75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Disco freio ventilado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HIPER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347,7097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695,42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Flexível freio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34,2812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68,56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mestre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519,1159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519,12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Tampa reservatório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142,0223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142,02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Reservatório d'água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617,0623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617,06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Correia dentada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DAYCO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445,6561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445,66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Correia alternador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DAYCO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225,2767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225,28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Tensor correia dentada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NITRON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313,4285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313,43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Tensor correia alternador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NITRON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166,5089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166,51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Válvula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termostática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M.T.E.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362,4016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362,40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Jogo velas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iridium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NGK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264,4553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264,46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Bomba combustível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538,7051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538,71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Bobina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MARELLI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293,8392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1.175,36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sapata freio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SYL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460,3480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460,35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Jogo 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>válvula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escape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EATON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1.351,6602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1.351,66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Jogo 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>válvula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>admissão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EATON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1.077,4103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1.077,41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vedador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>válvula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76,3982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611,19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retentor comando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176,3035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176,30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alavanca freio de mão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381,9909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381,99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junta cabeçote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TARANTO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435,8614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435,86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barra axial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DRIVEY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225,2767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450,55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 fluxo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AJE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78,3571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78,36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sensor temperatura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M.T.E.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97,9464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97,95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radiador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VISCONDE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910,9114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910,91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coxim motor lado direito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763,9818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763,98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coxim motor lado esquerdo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411,3748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411,37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kit embreagem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1.067,6157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1.067,62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embreagem auxiliar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636,6515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636,65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pedal embreagem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342,8124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342,81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caxorete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cabeçote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122,4330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979,46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DO LOTE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24.084,05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MERIVA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Total 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freio roda traseira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91,0800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182,16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Retentor cubo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19,5858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39,17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Rolamento cubo traseiro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283,9935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567,99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Jogo pastilha de freio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SYL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146,8932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146,89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Amortecedor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CORVEN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381,9223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763,84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Amortecedor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CORVEN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411,3010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822,60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Bucha eixo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215,4434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215,44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Cabo freio de mão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FANIA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107,7217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215,44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Bucha bandeja dianteira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117,5146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470,06 </w:t>
            </w:r>
          </w:p>
        </w:tc>
      </w:tr>
      <w:tr w:rsidR="00B43D66" w:rsidTr="00B43D66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Bucha bandeja dianteira parte traseira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141,9968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567,99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Pivô suspensão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DRIVE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109,6803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219,36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417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Bieleta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DRIVE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78,3430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156,69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Terminal direção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DRIVE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76,3845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152,77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Coxim amortecedor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381,9223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763,84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Kit haste amortecedor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117,5146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235,03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Coifa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homocinetica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lado roda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53,8608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107,72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Coifa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homocinetica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lado  cambio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86,1773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172,35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Homocinetica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249,7185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499,44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Rolamento cubo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357,4401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714,88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Disco freio ventilado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HIPER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279,0971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558,19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Flexível freio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37,2129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74,43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mestre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347,6473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347,65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Tampa reservatório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CCIO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78,3430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78,34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Reservatório d'água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GONIL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146,8932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146,89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Correia dentada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GATES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132,2039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132,20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Correia alternador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GATES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117,5146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117,51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Tensor correia dentada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NITRON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156,6861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156,69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Tensor correia alternador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NITRON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141,9968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142,00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Válvula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termostática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M.T.E.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244,8220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244,82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Jogo velas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BOSCH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127,3074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127,31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Bomba combustível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BOSCH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323,1651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323,17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Jogo cabo velas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NGK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176,2719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176,27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sapata freio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AYZ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244,8220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244,82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alavanca freio de mão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ORING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254,6149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254,61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junta cabeçote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151,7896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151,79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barra axial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DRIVE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88,1359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176,27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 fluxo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A.J.T.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78,3430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78,34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sensor temperatura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M.T.E.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107,7217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107,72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radiador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VISCONDE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631,6408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631,64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coxim motor lado direito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303,5793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303,58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coxim motor lado esquerdo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332,9579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332,96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kit embreagem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705,0874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705,09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embreagem auxiliar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313,3722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313,37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pedal embreagem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205,6505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205,65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caxorete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cabeçote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117,5146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940,12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DO LOTE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14.085,11 </w:t>
            </w:r>
          </w:p>
        </w:tc>
      </w:tr>
      <w:tr w:rsidR="00B43D66" w:rsidTr="00B43D66">
        <w:trPr>
          <w:trHeight w:val="225"/>
        </w:trPr>
        <w:tc>
          <w:tcPr>
            <w:tcW w:w="8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FIORINO /FURGONETA (2)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Total 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freio roda traseira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78,1929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312,77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Retentor cubo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19,5482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78,19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kit rolamento cubo traseiro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200,3692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801,48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Jogo pastilha de freio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FRASLE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127,0634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254,13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Amortecedor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CORVEN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244,3527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977,41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Amortecedor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CORVEN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381,1903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1.524,76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Bucha eixo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78,1929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156,39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Cabo freio de mão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GANIA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127,0634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254,13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Bucha bandeja dianteira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141,7246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566,90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Pivô suspensão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68,4188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273,68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Terminal direção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58,6447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234,58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Coxim amortecedor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224,8045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899,22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Kit haste amortecedor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97,7411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390,96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Coifa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homocinetica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lado roda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29,3223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117,29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Coifa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homocinetica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lado  cambio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34,2094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136,84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Homocinetica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141,7246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566,90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Rolamento cubo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141,7246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566,90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Disco freio ventilado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FREMAX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127,0634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508,25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Flexível freio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39,0964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156,39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mestre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293,2233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586,45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Tampa reservatório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CLIC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29,3223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58,64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Reservatório d'água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GONEL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87,9670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175,93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Correia dentada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GATES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78,1929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156,39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Correia alternador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GATES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48,8705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97,74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Tensor correia dentada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NITRON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136,8375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273,68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Tensor correia alternador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NITRON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86,0122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172,02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Válvula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termostática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M.T.E.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254,1268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508,25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Jogo velas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NGK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107,5152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215,03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Bomba combustível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BOSCH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254,1268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508,25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Jogo cabo velas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BOSCH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131,9505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          263,90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487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sapata freio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SYL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136,8375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273,68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retentor comando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43,0061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86,01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alavanca freio de mão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DRING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175,9340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351,87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junta cabeçote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107,5152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215,03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barra axial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78,1929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312,77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 fluxo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AJT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41,0513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82,10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sensor temperatura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M.T.E.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127,0634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254,13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radiador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VISCONDE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444,7220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889,44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coxim motor lado direito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87,9670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175,93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coxim motor lado esquerdo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86,0122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172,02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kit embreagem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478,9314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957,86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Cabo embreagem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FANIA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58,6447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117,29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DO LOTE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15.681,58 </w:t>
            </w:r>
          </w:p>
        </w:tc>
      </w:tr>
      <w:tr w:rsidR="00B43D66" w:rsidTr="00B43D66">
        <w:trPr>
          <w:trHeight w:val="225"/>
        </w:trPr>
        <w:tc>
          <w:tcPr>
            <w:tcW w:w="8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TORO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Total 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freio roda traseira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91,0000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182,00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Rolamento cubo traseiro externo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557,7828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1.115,57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Jogo pastilha de freio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FRASLE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391,4265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391,43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Amortecedor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518,6401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1.037,28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Amortecedor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714,3534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1.428,71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Bucha eixo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146,7849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146,78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Cabo freio de mão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127,2136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127,21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Bucha bandeja dianteira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176,1419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352,28 </w:t>
            </w:r>
          </w:p>
        </w:tc>
      </w:tr>
      <w:tr w:rsidR="00B43D66" w:rsidTr="00B43D66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Bucha bandeja dianteira parte traseira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176,1419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352,28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Pivô suspensão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195,7132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391,43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Bieleta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88,0710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176,14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Terminal direção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127,2136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254,43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Coxim amortecedor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352,2838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704,57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Kit haste amortecedor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136,9993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274,00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Coifa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homocinetica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lado roda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78,2853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156,57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Coifa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homocinetica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lado  cambio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86,1138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172,23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Homocinetica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547,9971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1.095,99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Rolamento cubo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733,9247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       1.467,85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523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Disco freio ventilado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FREMAX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273,9985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548,00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Flexível freio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117,4279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234,86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mestre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547,9971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548,00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Tampa reservatório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CLIC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97,8566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97,86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Reservatório d'água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GONEL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587,1397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587,14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Correia dentada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GATES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440,3548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440,35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Correia alternador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GATES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176,1419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176,14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Tensor correia dentada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NITRON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445,2476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445,25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Tensor correia alternador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NITRON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151,6778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151,68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Válvula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termostática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M.T.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574,4184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574,42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Jogo velas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NGK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445,2476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445,25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Bomba combustível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MARELLI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802,4243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802,42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Bobina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MARELLI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205,4989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822,00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sapata freio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SYL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347,3910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347,39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alavanca freio de mão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ORING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391,4265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391,43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barra axial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205,4989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411,00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 fluxo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AJE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107,6423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107,64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sensor temperatura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M.T.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733,9247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733,92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radiador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VALTO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606,7111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606,71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coxim motor lado direito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645,8537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645,85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coxim motor lado esquerdo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596,9254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596,93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kit embreagem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3.131,4120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3.131,41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embreagem auxiliar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929,6379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929,64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pedal embreagem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900,2809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900,28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DO LOTE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24.502,31 </w:t>
            </w:r>
          </w:p>
        </w:tc>
      </w:tr>
      <w:tr w:rsidR="00B43D66" w:rsidTr="00B43D66">
        <w:trPr>
          <w:trHeight w:val="225"/>
        </w:trPr>
        <w:tc>
          <w:tcPr>
            <w:tcW w:w="8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MOBI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Total 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freio roda traseira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109,2950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1.092,95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Cubo traseiro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268,2745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1.073,10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Jogo pastilha de freio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FRASLE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176,8625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884,31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Amortecedor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CORVEN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332,8591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1.997,15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Amortecedor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CORVEN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635,9099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3.815,46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Bucha eixo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178,8497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715,40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559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Cabo freio de mão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FANIA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158,9775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635,91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Bucha bandeja dianteira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89,4248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894,25 </w:t>
            </w:r>
          </w:p>
        </w:tc>
      </w:tr>
      <w:tr w:rsidR="00B43D66" w:rsidTr="00B43D66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Bucha bandeja dianteira parte traseira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139,1053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1.391,05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Pivô suspensão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89,4248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536,55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Bieleta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79,4887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476,93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Terminal direção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89,4248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357,70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Coxim amortecedor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337,8272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2.026,96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Kit haste amortecedor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119,2331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715,40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Coifa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homocinetica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lado roda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39,7444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238,47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Coifa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homocinetica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lado  cambio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69,5527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417,32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Homocinetica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248,4023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993,61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Rolamento cubo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213,6260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1.281,76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Disco freio ventilado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FREMAX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119,2331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953,86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Flexível freio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64,5846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258,34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mestre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268,2745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536,55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Tampa reservatório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CLTZ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129,1692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516,68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Reservatório d'água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GONEL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317,9550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1.271,82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Correia dentada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GATES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119,2331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715,40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Correia alternador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GATES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59,6166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357,70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Tensor correia dentada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NITRON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173,8816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869,41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Tensor correia alternador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NITRON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89,4248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357,70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Válvula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termostática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M.T.E.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149,0414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596,17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Jogo velas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BOSCH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99,3609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496,80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Bomba combustível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MARELLI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248,4023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496,80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Jogo cabo velas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MARELLI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129,1692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516,68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sapata freio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SYL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158,9775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794,89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Jogo 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>válvula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escape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 LEVE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342,7952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685,59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Jogo 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>válvula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>admissão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 LEVE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278,2106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556,42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vedador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>válvula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44,7124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715,40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retentor comando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41,7316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166,93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alavanca freio de mão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ORING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129,1692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258,34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junta cabeçote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129,1692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258,34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Barra axial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AXIOS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89,4248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715,40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592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 fluxo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AJE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288,1467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864,44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Sensor temperatura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M.T.E.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139,1053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278,21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Radiador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VISCONDE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357,6393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715,28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Coxim motor lado direito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119,2331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476,93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Coxim motor lado esquerdo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109,2970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437,19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Kit embreagem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377,5715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1.132,71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embreagem auxiliar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129,1692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516,68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pedal embreagem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158,9775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635,91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DO LOTE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36.696,83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FIAT UNO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Qdade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V. Total 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freio roda traseira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ZRW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121,8350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243,67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Cubo traseiro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238,8025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477,61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Jogo pastilha de freio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FRASLE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141,3321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282,66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Amortecedor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380,1346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760,27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Amortecedor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COFAP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380,1346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760,27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Bucha eixo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170,5732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341,15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Cabo freio de mão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FANIA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160,8262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321,65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Bucha bandeja dianteira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92,5969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185,19 </w:t>
            </w:r>
          </w:p>
        </w:tc>
      </w:tr>
      <w:tr w:rsidR="00B43D66" w:rsidTr="00B43D66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Bucha bandeja dianteira parte traseira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126,7115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253,42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Pivô suspensão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DRIVE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97,4704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97,47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Bieleta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92,5969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92,60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Terminal direção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DRIVE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82,8498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82,85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Coxim amortecedor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238,8025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477,61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Kit haste amortecedor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116,9645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233,93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Coifa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homocinetica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lado roda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53,6087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107,22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Coifa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homocinetica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lado  cambio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73,1028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146,21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Homocinetica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243,6760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487,35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Rolamento cubo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224,1819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448,36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Disco freio ventilado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FREMAX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146,2056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292,41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Flexível freio dianteiro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73,1028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146,21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Cilindro mestre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282,6642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282,66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Tampa reservatório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CLIC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87,7234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87,72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628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Reservatório d'água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GONEL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331,3994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331,40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Correia dentada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DYCO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136,4586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136,46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Correia alternador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DYCO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58,4822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58,48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Tensor correia dentada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NITRON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141,3321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141,33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Tensor correia alternador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NITRON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131,5851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131,59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Válvula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termostática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N.T.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146,2056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146,21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Jogo velas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N.G.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116,9645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116,96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Bomba combustível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MARELLI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243,6760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243,68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Jogo cabo velas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DELPHI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136,4586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136,46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sapata freio traseiro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SYL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185,1938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185,19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Jogo 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>válvula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escape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M. 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258,2966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258,30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Jogo 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>válvula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>admissão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M. 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233,9290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233,93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vedador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>válvula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68,2293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272,92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Retentor comando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48,7352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48,74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alavanca freio de mão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ORING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141,3321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141,33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junta cabeçote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TARANTO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160,8262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160,83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Barra axial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DRIVE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97,4704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97,47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Tubo fluxo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AJT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292,4112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292,41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Sensor temperatura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WTZ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155,9527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155,95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Radiador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VISCONDE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341,1464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341,15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Coxim motor lado direito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116,9645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233,93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Coxim motor lado esquerdo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SAMPEL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116,9645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233,93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Kit 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>embreagem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389,8816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389,88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Cilindro 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>embreagem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auxiliar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155,9527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155,95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Cilindro pedal </w:t>
            </w:r>
            <w:r w:rsidR="000829FB">
              <w:rPr>
                <w:rFonts w:ascii="Arial" w:hAnsi="Arial" w:cs="Arial"/>
                <w:color w:val="000000"/>
                <w:sz w:val="16"/>
                <w:szCs w:val="16"/>
              </w:rPr>
              <w:t>embreagem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185,1938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185,19 </w:t>
            </w:r>
          </w:p>
        </w:tc>
      </w:tr>
      <w:tr w:rsidR="00B43D66" w:rsidTr="00B43D66">
        <w:trPr>
          <w:trHeight w:val="2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DO LOTE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66" w:rsidRDefault="00B43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11.438,15 </w:t>
            </w:r>
          </w:p>
        </w:tc>
      </w:tr>
    </w:tbl>
    <w:p w:rsidR="00B43D66" w:rsidRDefault="00B43D66" w:rsidP="00B43D66">
      <w:pPr>
        <w:pStyle w:val="Centered"/>
        <w:rPr>
          <w:b/>
          <w:bCs/>
        </w:rPr>
      </w:pPr>
    </w:p>
    <w:p w:rsidR="00C31F81" w:rsidRDefault="00C31F81" w:rsidP="00C31F81">
      <w:pPr>
        <w:pStyle w:val="Centered"/>
        <w:jc w:val="both"/>
        <w:rPr>
          <w:b/>
          <w:bCs/>
        </w:rPr>
      </w:pPr>
      <w:r>
        <w:rPr>
          <w:b/>
          <w:bCs/>
        </w:rPr>
        <w:t xml:space="preserve">TOTAL R$ 370.356,59 (Trezentos e setenta mil trezentos e </w:t>
      </w:r>
      <w:proofErr w:type="spellStart"/>
      <w:r>
        <w:rPr>
          <w:b/>
          <w:bCs/>
        </w:rPr>
        <w:t>cinquenta</w:t>
      </w:r>
      <w:proofErr w:type="spellEnd"/>
      <w:r>
        <w:rPr>
          <w:b/>
          <w:bCs/>
        </w:rPr>
        <w:t xml:space="preserve"> e seis reais e </w:t>
      </w:r>
      <w:proofErr w:type="spellStart"/>
      <w:r>
        <w:rPr>
          <w:b/>
          <w:bCs/>
        </w:rPr>
        <w:t>cinquenta</w:t>
      </w:r>
      <w:proofErr w:type="spellEnd"/>
      <w:r>
        <w:rPr>
          <w:b/>
          <w:bCs/>
        </w:rPr>
        <w:t xml:space="preserve"> e nove centavos).</w:t>
      </w:r>
    </w:p>
    <w:p w:rsidR="00C31F81" w:rsidRDefault="00C31F81" w:rsidP="00B43D66">
      <w:pPr>
        <w:pStyle w:val="Centered"/>
        <w:rPr>
          <w:b/>
          <w:bCs/>
        </w:rPr>
      </w:pPr>
    </w:p>
    <w:p w:rsidR="00B43D66" w:rsidRPr="00DF5A44" w:rsidRDefault="00B43D66" w:rsidP="00B43D66">
      <w:pPr>
        <w:pStyle w:val="Centered"/>
        <w:rPr>
          <w:b/>
          <w:bCs/>
        </w:rPr>
      </w:pPr>
      <w:r w:rsidRPr="00DF5A44">
        <w:rPr>
          <w:b/>
          <w:bCs/>
        </w:rPr>
        <w:t>CLÁUSULA TERCEIRA – DO REGISTRO E REAJUSTE</w:t>
      </w:r>
    </w:p>
    <w:p w:rsidR="00B43D66" w:rsidRPr="00DF5A44" w:rsidRDefault="00B43D66" w:rsidP="00B43D66">
      <w:pPr>
        <w:pStyle w:val="ParagraphStyle"/>
        <w:jc w:val="both"/>
      </w:pPr>
    </w:p>
    <w:p w:rsidR="00B43D66" w:rsidRPr="00DF5A44" w:rsidRDefault="00B43D66" w:rsidP="00B43D66">
      <w:pPr>
        <w:pStyle w:val="ParagraphStyle"/>
        <w:jc w:val="both"/>
      </w:pPr>
      <w:r w:rsidRPr="00DF5A44">
        <w:rPr>
          <w:b/>
          <w:bCs/>
        </w:rPr>
        <w:t xml:space="preserve">PARÁGRAFO PRIMEIRO - </w:t>
      </w:r>
      <w:r w:rsidRPr="00DF5A44">
        <w:t xml:space="preserve">Durante a vigência da Ata de Registro de Preços, os preços registrados serão fixos e irreajustáveis, exceto nas hipóteses, devidamente comprovadas, de ocorrência de situação prevista na alínea “d” do inciso II do art. 65 da Lei nº 8.666/93 ou de redução dos preços praticados no </w:t>
      </w:r>
      <w:r w:rsidRPr="00DF5A44">
        <w:lastRenderedPageBreak/>
        <w:t>mercado.</w:t>
      </w:r>
    </w:p>
    <w:p w:rsidR="00B43D66" w:rsidRPr="00DF5A44" w:rsidRDefault="00B43D66" w:rsidP="00B43D66">
      <w:pPr>
        <w:pStyle w:val="ParagraphStyle"/>
        <w:jc w:val="both"/>
      </w:pPr>
      <w:r w:rsidRPr="00DF5A44">
        <w:rPr>
          <w:b/>
          <w:bCs/>
        </w:rPr>
        <w:t>PARÁGRAFO SEGUNDO -</w:t>
      </w:r>
      <w:r w:rsidRPr="00DF5A44">
        <w:t xml:space="preserve"> Mesmo comprovada a ocorrência de situação prevista na alínea “d” do inciso II do art. 65 da Lei nº 8.666/93, a Administração, se julgar conveniente, poderá optar por cancelar a Ata e iniciar outro processo licitatório.</w:t>
      </w:r>
    </w:p>
    <w:p w:rsidR="00B43D66" w:rsidRPr="00DF5A44" w:rsidRDefault="00B43D66" w:rsidP="00B43D66">
      <w:pPr>
        <w:pStyle w:val="ParagraphStyle"/>
        <w:jc w:val="both"/>
      </w:pPr>
      <w:r w:rsidRPr="00DF5A44">
        <w:rPr>
          <w:b/>
          <w:bCs/>
        </w:rPr>
        <w:t>PARÁGRAFO TERCEIRO -</w:t>
      </w:r>
      <w:r w:rsidRPr="00DF5A44">
        <w:t xml:space="preserve"> Comprovada a redução dos preços praticados no mercado nas mesmas condições do registro, e, definido o novo preço máximo a ser pago pela Administração, o Proponente registrado será convocado pela Secretaria de Administração para alteração, por aditamento, do preço da Ata. </w:t>
      </w:r>
    </w:p>
    <w:p w:rsidR="00C31F81" w:rsidRDefault="00C31F81" w:rsidP="00B43D66">
      <w:pPr>
        <w:pStyle w:val="Centered"/>
        <w:rPr>
          <w:b/>
          <w:bCs/>
        </w:rPr>
      </w:pPr>
    </w:p>
    <w:p w:rsidR="00B43D66" w:rsidRPr="00DF5A44" w:rsidRDefault="00B43D66" w:rsidP="00B43D66">
      <w:pPr>
        <w:pStyle w:val="Centered"/>
        <w:rPr>
          <w:b/>
          <w:bCs/>
        </w:rPr>
      </w:pPr>
      <w:r w:rsidRPr="00DF5A44">
        <w:rPr>
          <w:b/>
          <w:bCs/>
        </w:rPr>
        <w:t>CLÁUSULA QUARTA – PENALIDADES</w:t>
      </w:r>
    </w:p>
    <w:p w:rsidR="00B43D66" w:rsidRPr="00DF5A44" w:rsidRDefault="00B43D66" w:rsidP="00B43D66">
      <w:pPr>
        <w:pStyle w:val="ParagraphStyle"/>
        <w:jc w:val="both"/>
      </w:pPr>
    </w:p>
    <w:p w:rsidR="00B43D66" w:rsidRPr="00DF5A44" w:rsidRDefault="00B43D66" w:rsidP="00B43D66">
      <w:pPr>
        <w:pStyle w:val="ParagraphStyle"/>
        <w:jc w:val="both"/>
        <w:rPr>
          <w:b/>
          <w:bCs/>
          <w:color w:val="000000"/>
        </w:rPr>
      </w:pPr>
      <w:r w:rsidRPr="00DF5A44">
        <w:rPr>
          <w:b/>
          <w:bCs/>
          <w:color w:val="000000"/>
        </w:rPr>
        <w:t xml:space="preserve">PARÁGRAFO PRIMEIRO - O fornecedor está sujeito às seguintes penalidades: </w:t>
      </w:r>
    </w:p>
    <w:p w:rsidR="00B43D66" w:rsidRPr="00DF5A44" w:rsidRDefault="00B43D66" w:rsidP="00B43D66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  <w:b/>
        </w:rPr>
        <w:tab/>
      </w:r>
      <w:r w:rsidRPr="00DF5A44">
        <w:rPr>
          <w:rFonts w:ascii="Arial" w:hAnsi="Arial" w:cs="Arial"/>
        </w:rPr>
        <w:t>À licitante vencedora deste certame serão aplicadas as sanções previstas na Lei nº 8.666/93, nas seguintes situações, dentre outras:</w:t>
      </w:r>
    </w:p>
    <w:p w:rsidR="00B43D66" w:rsidRPr="00DF5A44" w:rsidRDefault="00B43D66" w:rsidP="00B43D66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  <w:b/>
        </w:rPr>
        <w:t xml:space="preserve">1 </w:t>
      </w:r>
      <w:r w:rsidRPr="00DF5A44">
        <w:rPr>
          <w:rFonts w:ascii="Arial" w:hAnsi="Arial" w:cs="Arial"/>
        </w:rPr>
        <w:t xml:space="preserve">- Pela recusa injustificada para a </w:t>
      </w:r>
      <w:r>
        <w:rPr>
          <w:rFonts w:ascii="Arial" w:hAnsi="Arial" w:cs="Arial"/>
        </w:rPr>
        <w:t>execução</w:t>
      </w:r>
      <w:r w:rsidRPr="00DF5A44">
        <w:rPr>
          <w:rFonts w:ascii="Arial" w:hAnsi="Arial" w:cs="Arial"/>
        </w:rPr>
        <w:t>, nos prazos previstos neste edital, será aplicada multa na razão de 10% (dez por cento) calculado sobre o valor total da requisição, até 05 (cinco) dias consecutivos, sendo que após esse prazo o instrumento firmado será rescindido e a contratada ficará sujeita a aplicação das penalidades previstas no edital.</w:t>
      </w:r>
    </w:p>
    <w:p w:rsidR="00B43D66" w:rsidRPr="00DF5A44" w:rsidRDefault="00B43D66" w:rsidP="00B43D66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  <w:b/>
        </w:rPr>
        <w:t>2</w:t>
      </w:r>
      <w:r w:rsidRPr="00DF5A44">
        <w:rPr>
          <w:rFonts w:ascii="Arial" w:hAnsi="Arial" w:cs="Arial"/>
        </w:rPr>
        <w:t xml:space="preserve"> - Pelo atraso ou demora injustificados para a </w:t>
      </w:r>
      <w:r>
        <w:rPr>
          <w:rFonts w:ascii="Arial" w:hAnsi="Arial" w:cs="Arial"/>
        </w:rPr>
        <w:t>execução</w:t>
      </w:r>
      <w:r w:rsidRPr="00DF5A44">
        <w:rPr>
          <w:rFonts w:ascii="Arial" w:hAnsi="Arial" w:cs="Arial"/>
        </w:rPr>
        <w:t xml:space="preserve">, além dos prazos e demais penalidades estipuladas neste edital, aplicação de multa na razão de R$ 100,00 (cem reais), por dia, de atraso ou de demora até a conclusão do caso. </w:t>
      </w:r>
    </w:p>
    <w:p w:rsidR="00B43D66" w:rsidRPr="00DF5A44" w:rsidRDefault="00B43D66" w:rsidP="00B43D66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  <w:b/>
        </w:rPr>
        <w:t>3</w:t>
      </w:r>
      <w:r w:rsidRPr="00DF5A44">
        <w:rPr>
          <w:rFonts w:ascii="Arial" w:hAnsi="Arial" w:cs="Arial"/>
        </w:rPr>
        <w:t xml:space="preserve"> - Pela </w:t>
      </w:r>
      <w:r>
        <w:rPr>
          <w:rFonts w:ascii="Arial" w:hAnsi="Arial" w:cs="Arial"/>
        </w:rPr>
        <w:t>execução</w:t>
      </w:r>
      <w:r w:rsidRPr="00DF5A44">
        <w:rPr>
          <w:rFonts w:ascii="Arial" w:hAnsi="Arial" w:cs="Arial"/>
        </w:rPr>
        <w:t xml:space="preserve"> em desacordo com o solicitado, recusa de </w:t>
      </w:r>
      <w:r>
        <w:rPr>
          <w:rFonts w:ascii="Arial" w:hAnsi="Arial" w:cs="Arial"/>
        </w:rPr>
        <w:t>execução</w:t>
      </w:r>
      <w:r w:rsidRPr="00DF5A44">
        <w:rPr>
          <w:rFonts w:ascii="Arial" w:hAnsi="Arial" w:cs="Arial"/>
        </w:rPr>
        <w:t xml:space="preserve">, ou problemas na emissão da Nota Fiscal (caso esta não seja regularizada), aplicação de multa na razão de 10% (dez por cento), sobre o valor total da nota, por infração, com prazo de até 24 (vinte e quatro) horas para </w:t>
      </w:r>
      <w:r>
        <w:rPr>
          <w:rFonts w:ascii="Arial" w:hAnsi="Arial" w:cs="Arial"/>
        </w:rPr>
        <w:t>o efetivo saneamento das falhas.</w:t>
      </w:r>
    </w:p>
    <w:p w:rsidR="00B43D66" w:rsidRPr="00DF5A44" w:rsidRDefault="00B43D66" w:rsidP="00B43D6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PARÁ</w:t>
      </w:r>
      <w:r w:rsidRPr="00DF5A44">
        <w:rPr>
          <w:rFonts w:ascii="Arial" w:hAnsi="Arial" w:cs="Arial"/>
          <w:b/>
        </w:rPr>
        <w:t xml:space="preserve">GRAFO SEGUNDO - </w:t>
      </w:r>
      <w:r w:rsidRPr="00DF5A44">
        <w:rPr>
          <w:rFonts w:ascii="Arial" w:hAnsi="Arial" w:cs="Arial"/>
        </w:rPr>
        <w:t>Nos termos do art. 7° da Lei nº 10.520, de 17/07/2002, a licitante, sem prejuízo das demais cominações legais e contratuais, poderá ficar, pelo prazo de até 60 (sessenta) meses, impedida de licitar e contratar com a Administração Pública e descredenciada do Registro Cadastral de Fornecedores do Município, nos casos de:</w:t>
      </w:r>
    </w:p>
    <w:p w:rsidR="00B43D66" w:rsidRPr="00DF5A44" w:rsidRDefault="00B43D66" w:rsidP="00B43D66">
      <w:pPr>
        <w:ind w:right="-567"/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>a) apresentação de documentação falsa;</w:t>
      </w:r>
    </w:p>
    <w:p w:rsidR="00B43D66" w:rsidRPr="00DF5A44" w:rsidRDefault="00B43D66" w:rsidP="00B43D66">
      <w:pPr>
        <w:ind w:right="-567"/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>b) retardamento na execução do objeto;</w:t>
      </w:r>
    </w:p>
    <w:p w:rsidR="00B43D66" w:rsidRPr="00DF5A44" w:rsidRDefault="00B43D66" w:rsidP="00B43D66">
      <w:pPr>
        <w:ind w:right="-567"/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>c) não manutenção da proposta escrita ou lance verbal, após a adjudicação;</w:t>
      </w:r>
    </w:p>
    <w:p w:rsidR="00B43D66" w:rsidRPr="00DF5A44" w:rsidRDefault="00B43D66" w:rsidP="00B43D66">
      <w:pPr>
        <w:ind w:right="-567"/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>d) comportamento inidôneo;</w:t>
      </w:r>
    </w:p>
    <w:p w:rsidR="00B43D66" w:rsidRPr="00DF5A44" w:rsidRDefault="00B43D66" w:rsidP="00B43D66">
      <w:pPr>
        <w:ind w:right="-567"/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>e) fraude na execução do contrato;</w:t>
      </w:r>
    </w:p>
    <w:p w:rsidR="00B43D66" w:rsidRPr="00DF5A44" w:rsidRDefault="00B43D66" w:rsidP="00B43D66">
      <w:pPr>
        <w:ind w:right="-567"/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>f) falha na execução do contrato.</w:t>
      </w:r>
    </w:p>
    <w:p w:rsidR="00B43D66" w:rsidRPr="00DF5A44" w:rsidRDefault="00B43D66" w:rsidP="00B43D66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  <w:b/>
        </w:rPr>
        <w:t>1</w:t>
      </w:r>
      <w:r w:rsidRPr="00DF5A44">
        <w:rPr>
          <w:rFonts w:ascii="Arial" w:hAnsi="Arial" w:cs="Arial"/>
        </w:rPr>
        <w:t xml:space="preserve"> - Será facultado à licitante o prazo de 05 (cinco) dias úteis para a apresentação de defesa prévia, na ocorrência de quaisquer das situações previstas neste edital.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</w:rPr>
        <w:t xml:space="preserve">2 - </w:t>
      </w:r>
      <w:r w:rsidRPr="00DF5A44">
        <w:t>As multas previstas nesta seção não eximem a adjudicatária da reparação dos eventuais danos, perdas ou prejuízos que seu ato punível venha causar à administração.</w:t>
      </w:r>
    </w:p>
    <w:p w:rsidR="00B43D66" w:rsidRPr="00DF5A44" w:rsidRDefault="00B43D66" w:rsidP="00B43D66">
      <w:pPr>
        <w:pStyle w:val="Centered"/>
        <w:rPr>
          <w:b/>
          <w:bCs/>
        </w:rPr>
      </w:pPr>
      <w:r w:rsidRPr="00DF5A44">
        <w:rPr>
          <w:b/>
          <w:bCs/>
        </w:rPr>
        <w:lastRenderedPageBreak/>
        <w:t xml:space="preserve">CLÁUSULA QUINTA – DOS PRAZOS E </w:t>
      </w:r>
      <w:r>
        <w:rPr>
          <w:b/>
          <w:bCs/>
        </w:rPr>
        <w:t>EXECUÇÃO</w:t>
      </w:r>
    </w:p>
    <w:p w:rsidR="00B43D66" w:rsidRDefault="00B43D66" w:rsidP="00B43D66">
      <w:pPr>
        <w:pStyle w:val="ParagraphStyle"/>
        <w:jc w:val="both"/>
        <w:rPr>
          <w:b/>
          <w:bCs/>
          <w:color w:val="000000"/>
        </w:rPr>
      </w:pPr>
    </w:p>
    <w:p w:rsidR="00B43D66" w:rsidRDefault="00B43D66" w:rsidP="00B43D66">
      <w:pPr>
        <w:pStyle w:val="ParagraphStyle"/>
        <w:jc w:val="both"/>
        <w:rPr>
          <w:color w:val="000000"/>
        </w:rPr>
      </w:pPr>
      <w:r w:rsidRPr="00571631">
        <w:rPr>
          <w:b/>
          <w:bCs/>
          <w:color w:val="000000"/>
        </w:rPr>
        <w:t xml:space="preserve">PARÁGRAFO PRIMEIRO </w:t>
      </w:r>
      <w:r w:rsidRPr="00571631">
        <w:rPr>
          <w:color w:val="000000"/>
        </w:rPr>
        <w:t xml:space="preserve">– A execução deverá ocorrer conforme solicitação emitida pela municipalidade, </w:t>
      </w:r>
      <w:r>
        <w:rPr>
          <w:color w:val="000000"/>
        </w:rPr>
        <w:t>em no máximo 3 dias após recebimento desta.</w:t>
      </w:r>
    </w:p>
    <w:p w:rsidR="00B43D66" w:rsidRDefault="00B43D66" w:rsidP="00B43D66">
      <w:pPr>
        <w:pStyle w:val="ParagraphStyle"/>
        <w:jc w:val="both"/>
        <w:rPr>
          <w:color w:val="000000"/>
        </w:rPr>
      </w:pPr>
      <w:r w:rsidRPr="00571631">
        <w:rPr>
          <w:b/>
          <w:color w:val="000000"/>
        </w:rPr>
        <w:t>PARÁGRAFO SEGUNDO</w:t>
      </w:r>
      <w:r w:rsidRPr="00571631">
        <w:rPr>
          <w:color w:val="000000"/>
        </w:rPr>
        <w:t xml:space="preserve"> - O prazo de validade da ata de registro de preço é 12 meses a partir da assinatura da ata.</w:t>
      </w:r>
    </w:p>
    <w:p w:rsidR="00B43D66" w:rsidRDefault="00B43D66" w:rsidP="00B43D66">
      <w:pPr>
        <w:pStyle w:val="ParagraphStyle"/>
        <w:jc w:val="both"/>
      </w:pPr>
      <w:r>
        <w:rPr>
          <w:b/>
          <w:bCs/>
        </w:rPr>
        <w:t>PARÁGRAFO TERCEIRO</w:t>
      </w:r>
      <w:r>
        <w:t xml:space="preserve"> – A vigência da ata é de 30 dias além do prazo de validade da mesma.</w:t>
      </w:r>
    </w:p>
    <w:p w:rsidR="00B43D66" w:rsidRDefault="00B43D66" w:rsidP="00B43D66">
      <w:pPr>
        <w:pStyle w:val="ParagraphStyle"/>
        <w:jc w:val="both"/>
        <w:rPr>
          <w:b/>
          <w:color w:val="000000"/>
        </w:rPr>
      </w:pPr>
      <w:r w:rsidRPr="00571631">
        <w:rPr>
          <w:b/>
          <w:bCs/>
          <w:color w:val="000000"/>
        </w:rPr>
        <w:t xml:space="preserve">PARÁGRAFO </w:t>
      </w:r>
      <w:r>
        <w:rPr>
          <w:b/>
          <w:bCs/>
          <w:color w:val="000000"/>
        </w:rPr>
        <w:t>QUARTO</w:t>
      </w:r>
      <w:r w:rsidRPr="00571631">
        <w:rPr>
          <w:color w:val="000000"/>
        </w:rPr>
        <w:t xml:space="preserve"> </w:t>
      </w:r>
      <w:r w:rsidRPr="00571631">
        <w:rPr>
          <w:b/>
          <w:bCs/>
          <w:color w:val="000000"/>
        </w:rPr>
        <w:t xml:space="preserve">- </w:t>
      </w:r>
      <w:r w:rsidRPr="00571631">
        <w:rPr>
          <w:b/>
          <w:color w:val="000000"/>
        </w:rPr>
        <w:t>LOCAL DE ENTREGA</w:t>
      </w:r>
      <w:r>
        <w:rPr>
          <w:b/>
          <w:color w:val="000000"/>
        </w:rPr>
        <w:t>:</w:t>
      </w:r>
    </w:p>
    <w:p w:rsidR="00B43D66" w:rsidRPr="00601257" w:rsidRDefault="00B43D66" w:rsidP="00B43D66">
      <w:pPr>
        <w:pStyle w:val="ParagraphStyle"/>
        <w:jc w:val="both"/>
        <w:rPr>
          <w:color w:val="000000"/>
        </w:rPr>
      </w:pPr>
      <w:r>
        <w:rPr>
          <w:b/>
          <w:color w:val="000000"/>
        </w:rPr>
        <w:t>I</w:t>
      </w:r>
      <w:r w:rsidRPr="00601257">
        <w:rPr>
          <w:b/>
        </w:rPr>
        <w:t xml:space="preserve"> </w:t>
      </w:r>
      <w:r w:rsidRPr="00601257">
        <w:rPr>
          <w:color w:val="000000"/>
        </w:rPr>
        <w:t>- Os produtos/serviços deverão ser entregues no Município contratante, sendo que tais despesas correm por conta da empresa contratada.</w:t>
      </w:r>
    </w:p>
    <w:p w:rsidR="00B43D66" w:rsidRPr="00601257" w:rsidRDefault="00B43D66" w:rsidP="00B43D66">
      <w:pPr>
        <w:pStyle w:val="ParagraphStyle"/>
        <w:jc w:val="both"/>
        <w:rPr>
          <w:color w:val="000000"/>
        </w:rPr>
      </w:pPr>
      <w:r>
        <w:rPr>
          <w:b/>
          <w:color w:val="000000"/>
        </w:rPr>
        <w:t>II</w:t>
      </w:r>
      <w:r w:rsidRPr="00601257">
        <w:rPr>
          <w:color w:val="000000"/>
        </w:rPr>
        <w:t xml:space="preserve"> – Caso seja necessária remoção do veículo para conserto em outro local, isto poderá ser feito com autorização do Município, contudo a despesa de remoção e devolução do veículo correm por conta da contratada.</w:t>
      </w:r>
    </w:p>
    <w:p w:rsidR="00B43D66" w:rsidRPr="00601257" w:rsidRDefault="00B43D66" w:rsidP="00B43D66">
      <w:pPr>
        <w:pStyle w:val="ParagraphStyle"/>
        <w:jc w:val="both"/>
        <w:rPr>
          <w:color w:val="000000"/>
        </w:rPr>
      </w:pPr>
      <w:r>
        <w:rPr>
          <w:b/>
          <w:color w:val="000000"/>
        </w:rPr>
        <w:t>III</w:t>
      </w:r>
      <w:r w:rsidRPr="00601257">
        <w:rPr>
          <w:b/>
          <w:color w:val="000000"/>
        </w:rPr>
        <w:t xml:space="preserve"> – </w:t>
      </w:r>
      <w:r w:rsidRPr="00601257">
        <w:rPr>
          <w:color w:val="000000"/>
        </w:rPr>
        <w:t>As peças deverão ser originais e/ou paralelas de primeira linha.</w:t>
      </w:r>
    </w:p>
    <w:p w:rsidR="00B43D66" w:rsidRDefault="00B43D66" w:rsidP="00B43D66">
      <w:pPr>
        <w:pStyle w:val="ParagraphStyle"/>
        <w:jc w:val="both"/>
        <w:rPr>
          <w:b/>
          <w:bCs/>
        </w:rPr>
      </w:pPr>
      <w:r w:rsidRPr="00571631">
        <w:rPr>
          <w:color w:val="000000"/>
        </w:rPr>
        <w:t>.</w:t>
      </w:r>
    </w:p>
    <w:p w:rsidR="00B43D66" w:rsidRPr="00DF5A44" w:rsidRDefault="00B43D66" w:rsidP="00B43D66">
      <w:pPr>
        <w:pStyle w:val="Centered"/>
        <w:rPr>
          <w:b/>
          <w:bCs/>
        </w:rPr>
      </w:pPr>
      <w:r w:rsidRPr="00DF5A44">
        <w:rPr>
          <w:b/>
          <w:bCs/>
        </w:rPr>
        <w:t>CLÁUSULA SEXTA – PAGAMENTO</w:t>
      </w:r>
    </w:p>
    <w:p w:rsidR="00B43D66" w:rsidRPr="00DF5A44" w:rsidRDefault="00B43D66" w:rsidP="00B43D66">
      <w:pPr>
        <w:pStyle w:val="Centered"/>
        <w:rPr>
          <w:b/>
          <w:bCs/>
          <w:u w:val="single"/>
        </w:rPr>
      </w:pPr>
    </w:p>
    <w:p w:rsidR="00B43D66" w:rsidRPr="00DF5A44" w:rsidRDefault="00B43D66" w:rsidP="00B43D66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  <w:b/>
          <w:bCs/>
        </w:rPr>
        <w:t xml:space="preserve">PARÁGRAFO PRIMEIRO </w:t>
      </w:r>
      <w:r w:rsidRPr="00DF5A44">
        <w:rPr>
          <w:rFonts w:ascii="Arial" w:hAnsi="Arial" w:cs="Arial"/>
        </w:rPr>
        <w:t xml:space="preserve">- </w:t>
      </w:r>
      <w:r w:rsidRPr="00DF5A44">
        <w:rPr>
          <w:rFonts w:ascii="Arial" w:hAnsi="Arial" w:cs="Arial"/>
          <w:bCs/>
        </w:rPr>
        <w:t>O pagamento será efetuado em até 30 (trinta) dias</w:t>
      </w:r>
      <w:r w:rsidRPr="00DF5A44">
        <w:rPr>
          <w:rFonts w:ascii="Arial" w:hAnsi="Arial" w:cs="Arial"/>
        </w:rPr>
        <w:t xml:space="preserve"> após a </w:t>
      </w:r>
      <w:r>
        <w:rPr>
          <w:rFonts w:ascii="Arial" w:hAnsi="Arial" w:cs="Arial"/>
        </w:rPr>
        <w:t>entrega/execução,</w:t>
      </w:r>
      <w:r w:rsidRPr="00DF5A44">
        <w:rPr>
          <w:rFonts w:ascii="Arial" w:hAnsi="Arial" w:cs="Arial"/>
        </w:rPr>
        <w:t xml:space="preserve"> mediante emissão da nota fiscal acompanhada dos seguintes documentos: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t>-</w:t>
      </w:r>
      <w:r w:rsidRPr="00DF5A44">
        <w:rPr>
          <w:color w:val="000000"/>
        </w:rPr>
        <w:t xml:space="preserve"> Laudo de </w:t>
      </w:r>
      <w:r>
        <w:rPr>
          <w:color w:val="000000"/>
        </w:rPr>
        <w:t>execução</w:t>
      </w:r>
      <w:r w:rsidRPr="00DF5A44">
        <w:rPr>
          <w:color w:val="000000"/>
        </w:rPr>
        <w:t xml:space="preserve"> emitido pela Comissão Permanente Para Recebimento de Bens e Serviços.</w:t>
      </w:r>
    </w:p>
    <w:p w:rsidR="00B43D66" w:rsidRPr="00DF5A44" w:rsidRDefault="00B43D66" w:rsidP="00B43D66">
      <w:pPr>
        <w:pStyle w:val="ParagraphStyle"/>
        <w:jc w:val="both"/>
      </w:pPr>
      <w:r w:rsidRPr="00DF5A44">
        <w:t>- Prova de Regularidade junto a Fazenda Federal;</w:t>
      </w:r>
    </w:p>
    <w:p w:rsidR="00B43D66" w:rsidRPr="00DF5A44" w:rsidRDefault="00B43D66" w:rsidP="00B43D66">
      <w:pPr>
        <w:pStyle w:val="ParagraphStyle"/>
        <w:jc w:val="both"/>
      </w:pPr>
      <w:r w:rsidRPr="00DF5A44">
        <w:t>- Prova de Regularidade junto a Fazenda Estadual;</w:t>
      </w:r>
    </w:p>
    <w:p w:rsidR="00B43D66" w:rsidRPr="00DF5A44" w:rsidRDefault="00B43D66" w:rsidP="00B43D66">
      <w:pPr>
        <w:pStyle w:val="ParagraphStyle"/>
        <w:jc w:val="both"/>
      </w:pPr>
      <w:r w:rsidRPr="00DF5A44">
        <w:t>- Certificado de Regularidade do FGTS;</w:t>
      </w:r>
    </w:p>
    <w:p w:rsidR="00B43D66" w:rsidRPr="00DF5A44" w:rsidRDefault="00B43D66" w:rsidP="00B43D66">
      <w:pPr>
        <w:pStyle w:val="ParagraphStyle"/>
        <w:jc w:val="both"/>
      </w:pPr>
      <w:r w:rsidRPr="00DF5A44">
        <w:rPr>
          <w:bCs/>
        </w:rPr>
        <w:t xml:space="preserve">- </w:t>
      </w:r>
      <w:r w:rsidRPr="00DF5A44">
        <w:t>Prova de regularidade de tributos Municipais;</w:t>
      </w:r>
    </w:p>
    <w:p w:rsidR="00B43D66" w:rsidRPr="00DF5A44" w:rsidRDefault="00B43D66" w:rsidP="00B43D66">
      <w:pPr>
        <w:pStyle w:val="ParagraphStyle"/>
        <w:jc w:val="both"/>
      </w:pPr>
      <w:r w:rsidRPr="00DF5A44">
        <w:t>- Certidão Negativa de Débitos Trabalhistas - CNDT;</w:t>
      </w:r>
    </w:p>
    <w:p w:rsidR="00B43D66" w:rsidRPr="00DF5A44" w:rsidRDefault="00B43D66" w:rsidP="00B43D66">
      <w:pPr>
        <w:pStyle w:val="ParagraphStyle"/>
        <w:jc w:val="both"/>
      </w:pPr>
      <w:r w:rsidRPr="00DF5A44">
        <w:rPr>
          <w:b/>
          <w:bCs/>
        </w:rPr>
        <w:t>PARÁGRAFO SEGUNDO</w:t>
      </w:r>
      <w:r w:rsidRPr="00DF5A44">
        <w:t xml:space="preserve"> – O município poderá deduzir do montante a pagar os valores correspondentes a multas ou indenizações devidas pelo fornecedor.</w:t>
      </w:r>
    </w:p>
    <w:p w:rsidR="00B43D66" w:rsidRPr="00DF5A44" w:rsidRDefault="00B43D66" w:rsidP="00B43D66">
      <w:pPr>
        <w:pStyle w:val="ParagraphStyle"/>
        <w:jc w:val="both"/>
      </w:pPr>
      <w:r w:rsidRPr="00DF5A44">
        <w:rPr>
          <w:b/>
          <w:bCs/>
        </w:rPr>
        <w:t xml:space="preserve">PARÁGRAFO TERCEIRO </w:t>
      </w:r>
      <w:r w:rsidRPr="00DF5A44">
        <w:t xml:space="preserve">- O pagamento efetuado não isentará o fornecedor das </w:t>
      </w:r>
      <w:r>
        <w:t>responsabilidades decorrentes dos serviços efetuados</w:t>
      </w:r>
      <w:r w:rsidRPr="00DF5A44">
        <w:t>.</w:t>
      </w:r>
    </w:p>
    <w:p w:rsidR="00B43D66" w:rsidRPr="00DF5A44" w:rsidRDefault="00B43D66" w:rsidP="00B43D66">
      <w:pPr>
        <w:pStyle w:val="ParagraphStyle"/>
        <w:jc w:val="both"/>
      </w:pPr>
      <w:r w:rsidRPr="00DF5A44">
        <w:rPr>
          <w:b/>
        </w:rPr>
        <w:t xml:space="preserve">PARAGRAFO QUARTO - </w:t>
      </w:r>
      <w:r w:rsidRPr="00DF5A44">
        <w:t>Os recursos para pagamento das despesas serão oriundos da seguinte rubrica orçamentária:</w:t>
      </w:r>
    </w:p>
    <w:p w:rsidR="00B43D66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05</w:t>
      </w:r>
      <w:r>
        <w:rPr>
          <w:rFonts w:ascii="Arial" w:hAnsi="Arial" w:cs="Arial"/>
          <w:b/>
        </w:rPr>
        <w:t xml:space="preserve"> </w:t>
      </w:r>
      <w:r w:rsidRPr="001918AA">
        <w:rPr>
          <w:rFonts w:ascii="Arial" w:hAnsi="Arial" w:cs="Arial"/>
          <w:b/>
        </w:rPr>
        <w:t xml:space="preserve">– Secretaria de Agricultura, </w:t>
      </w:r>
      <w:proofErr w:type="spellStart"/>
      <w:r w:rsidRPr="001918AA">
        <w:rPr>
          <w:rFonts w:ascii="Arial" w:hAnsi="Arial" w:cs="Arial"/>
          <w:b/>
        </w:rPr>
        <w:t>Abast</w:t>
      </w:r>
      <w:proofErr w:type="spellEnd"/>
      <w:r w:rsidRPr="001918AA">
        <w:rPr>
          <w:rFonts w:ascii="Arial" w:hAnsi="Arial" w:cs="Arial"/>
          <w:b/>
        </w:rPr>
        <w:t>. e Meio Ambiente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 xml:space="preserve">05.01 – Divisão de Agricultura 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20.606.0003.2.008 – Gestão da Agricultura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(060) – Material de Consumo – Fonte de Recursos – 000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06</w:t>
      </w:r>
      <w:r>
        <w:rPr>
          <w:rFonts w:ascii="Arial" w:hAnsi="Arial" w:cs="Arial"/>
          <w:b/>
        </w:rPr>
        <w:t xml:space="preserve"> </w:t>
      </w:r>
      <w:r w:rsidRPr="001918AA">
        <w:rPr>
          <w:rFonts w:ascii="Arial" w:hAnsi="Arial" w:cs="Arial"/>
          <w:b/>
        </w:rPr>
        <w:t>– Secretaria de Viação, Obras e Urbanismo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 xml:space="preserve">06.01 – Divisão de Serviços Rodoviários 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26.782.0004.2.009 – Gestão dos Serviços Rodoviários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(076) – Material de Consumo – Fonte de Recursos – 000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(077) – Material de Consumo – Fonte de Recursos – 504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lastRenderedPageBreak/>
        <w:t>3.3.90.30.00 (078) – Material de Consumo – Fonte de Recursos – 510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(079) – Material de Consumo – Fonte de Recursos – 511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(080) – Material de Consumo – Fonte de Recursos – 512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 xml:space="preserve">06.02 – Divisão de Serviços Urbanos 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15.452.0005.2.010 – Gestão de Serviços Urbanos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(099) – Material de Consumo – Fonte de Recursos – 000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09</w:t>
      </w:r>
      <w:r>
        <w:rPr>
          <w:rFonts w:ascii="Arial" w:hAnsi="Arial" w:cs="Arial"/>
          <w:b/>
        </w:rPr>
        <w:t xml:space="preserve"> </w:t>
      </w:r>
      <w:r w:rsidRPr="001918AA">
        <w:rPr>
          <w:rFonts w:ascii="Arial" w:hAnsi="Arial" w:cs="Arial"/>
          <w:b/>
        </w:rPr>
        <w:t>– Secretaria de Bem Estar Social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 xml:space="preserve">09.01 – Divisão de Assistência Social 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08.244.0008.2.018 – Gestão da Assistência Social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(116) – Material de Consumo – Fonte de Recursos – 000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 xml:space="preserve">09.02 – Conselho Tutelar e Instâncias de Controle Social 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08.243.0008.2.020 – Gestão do Conselho Tutelar e Instâncias do Controle Social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(125) – Material de Consumo – Fonte de Recursos – 000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</w:t>
      </w:r>
      <w:r w:rsidRPr="001918AA">
        <w:rPr>
          <w:rFonts w:ascii="Arial" w:hAnsi="Arial" w:cs="Arial"/>
          <w:b/>
        </w:rPr>
        <w:t>– Secretaria de Educação, Cultura e Esportes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 xml:space="preserve">10.01 – Divisão de Ensino Fundamental 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12.361.0009.2.022 – Gestão do Ensino Fundamental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(157) – Material de Consumo – Fonte de Recursos – 000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(158) – Material de Consumo – Fonte de Recursos – 103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(159) – Material de Consumo – Fonte de Recursos – 104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(160) – Material de Consumo – Fonte de Recursos – 107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12.361.0009.2.023 – Gestão do Transporte Escolar do Ensino Fundamental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(182) – Material de Consumo – Fonte de Recursos – 000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(183) – Material de Consumo – Fonte de Recursos – 103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(184) – Material de Consumo – Fonte de Recursos – 104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(185) – Material de Consumo – Fonte de Recursos – 115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(186) – Material de Consumo – Fonte de Recursos – 138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 xml:space="preserve">10.02 – Divisão de Educação Infantil 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12.365.0009.2.027 – Gestão da Educação Infantil - Creche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(218) – Material de Consumo – Fonte de Recursos – 000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(219) – Material de Consumo – Fonte de Recursos – 103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(220) – Material de Consumo – Fonte de Recursos – 104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(221) – Material de Consumo – Fonte de Recursos – 107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12.365.0009.2.028 – Gestão da Educação Infantil – Pré-Escola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(239) – Material de Consumo – Fonte de Recursos – 000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(240) – Material de Consumo – Fonte de Recursos – 103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(241) – Material de Consumo – Fonte de Recursos – 104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(242) – Material de Consumo – Fonte de Recursos – 107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12.365.0009.2.029 – Gestão do Transporte Escolar da Educação Infantil - Creche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(257) – Material de Consumo – Fonte de Recursos – 000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(258) – Material de Consumo – Fonte de Recursos – 103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(259) – Material de Consumo – Fonte de Recursos – 104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lastRenderedPageBreak/>
        <w:t>12.365.0009.2.030 – Gestão do Transporte Escolar da Educação Infantil – Pré-Escola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(265) – Material de Consumo – Fonte de Recursos – 000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 xml:space="preserve"> </w:t>
      </w:r>
      <w:r w:rsidRPr="001918AA">
        <w:rPr>
          <w:rFonts w:ascii="Arial" w:hAnsi="Arial" w:cs="Arial"/>
          <w:b/>
        </w:rPr>
        <w:t>– Fundo Municipal de Saúde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 xml:space="preserve">11.01 – Divisão de Atenção Básica 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10.301.0007.2.039 – Gestão da Atenção Básica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(319) – Material de Consumo – Fonte de Recursos – 000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(320) – Material de Consumo – Fonte de Recursos – 303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(587) – Material de Consumo – Fonte de Recursos – 49401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10.301.0007.2.054 – Gestão do Incremento Temporário do PAB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(589) – Material de Consumo – Fonte de Recursos – 49412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 xml:space="preserve">11.03 – Divisão de Atenção de </w:t>
      </w:r>
      <w:proofErr w:type="spellStart"/>
      <w:r w:rsidRPr="001918AA">
        <w:rPr>
          <w:rFonts w:ascii="Arial" w:hAnsi="Arial" w:cs="Arial"/>
          <w:b/>
        </w:rPr>
        <w:t>M.A.C.</w:t>
      </w:r>
      <w:proofErr w:type="spellEnd"/>
      <w:r w:rsidRPr="001918AA">
        <w:rPr>
          <w:rFonts w:ascii="Arial" w:hAnsi="Arial" w:cs="Arial"/>
          <w:b/>
        </w:rPr>
        <w:t xml:space="preserve"> Hospitalar e </w:t>
      </w:r>
      <w:proofErr w:type="spellStart"/>
      <w:r w:rsidRPr="001918AA">
        <w:rPr>
          <w:rFonts w:ascii="Arial" w:hAnsi="Arial" w:cs="Arial"/>
          <w:b/>
        </w:rPr>
        <w:t>Amb</w:t>
      </w:r>
      <w:proofErr w:type="spellEnd"/>
      <w:r w:rsidRPr="001918AA">
        <w:rPr>
          <w:rFonts w:ascii="Arial" w:hAnsi="Arial" w:cs="Arial"/>
          <w:b/>
        </w:rPr>
        <w:t xml:space="preserve">. 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10.302.0007.2.044 – Gestão do Hospital Municipal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(387) – Material de Consumo – Fonte de Recursos – 000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(388) – Material de Consumo – Fonte de Recursos – 303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(389) – Material de Consumo – Fonte de Recursos – 369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 xml:space="preserve"> </w:t>
      </w:r>
      <w:r w:rsidRPr="001918AA">
        <w:rPr>
          <w:rFonts w:ascii="Arial" w:hAnsi="Arial" w:cs="Arial"/>
          <w:b/>
        </w:rPr>
        <w:t>– Fundo Municipal de Assistência Social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 xml:space="preserve">12.01 – Divisão de Proteção Social Básica 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08.244.0008.2.049 – Gestão dos Serviços de Proteção Social Básica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(409) – Material de Consumo – Fonte de Recursos – 000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(410) – Material de Consumo – Fonte de Recursos – 770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(411) – Material de Consumo – Fonte de Recursos – 934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(412) – Material de Consumo – Fonte de Recursos – 936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(413) – Material de Consumo – Fonte de Recursos – 940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 xml:space="preserve">12.01 – Divisão de Proteção Social Especial 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08.244.0008.2.050 – Gestão dos Serviços de Proteção Social Especial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(434) – Material de Consumo – Fonte de Recursos – 000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(435) – Material de Consumo – Fonte de Recursos – 766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(436) – Material de Consumo – Fonte de Recursos – 767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(437) – Material de Consumo – Fonte de Recursos – 938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13  – Fundo Municipal dos Direitos da Criança e Adolescente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13.01 – Divisão de Proteção Social Básica à Criança e Adolescente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08.243.0013.6.001 – Gestão dos Serviços de Proteção Social Básica à Criança e ao Adolescente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(453) – Material de Consumo – Fonte de Recursos – 000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13.02 – Divisão de Proteção Social Especial à Criança e Adolescente</w:t>
      </w:r>
    </w:p>
    <w:p w:rsidR="00B43D66" w:rsidRPr="001918AA" w:rsidRDefault="00B43D66" w:rsidP="00B43D66">
      <w:pPr>
        <w:tabs>
          <w:tab w:val="center" w:leader="dot" w:pos="7088"/>
          <w:tab w:val="right" w:pos="8931"/>
        </w:tabs>
        <w:jc w:val="both"/>
        <w:rPr>
          <w:rFonts w:ascii="Arial" w:hAnsi="Arial" w:cs="Arial"/>
          <w:b/>
        </w:rPr>
      </w:pPr>
      <w:r w:rsidRPr="001918AA">
        <w:rPr>
          <w:rFonts w:ascii="Arial" w:hAnsi="Arial" w:cs="Arial"/>
          <w:b/>
        </w:rPr>
        <w:t>08.243.0013.6.002 – Gestão dos Serviços de Proteção Social Especial à Criança e ao Adolescente</w:t>
      </w:r>
    </w:p>
    <w:p w:rsidR="00B43D66" w:rsidRPr="001918AA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1918AA">
        <w:rPr>
          <w:rFonts w:ascii="Arial" w:hAnsi="Arial" w:cs="Arial"/>
        </w:rPr>
        <w:t>3.3.90.30.00 (460) – Material de Consumo – Fonte de Recursos – 000</w:t>
      </w:r>
    </w:p>
    <w:p w:rsidR="00B43D66" w:rsidRPr="00DD4D57" w:rsidRDefault="00B43D66" w:rsidP="00B43D66">
      <w:pPr>
        <w:tabs>
          <w:tab w:val="right" w:leader="dot" w:pos="8100"/>
          <w:tab w:val="right" w:pos="9360"/>
        </w:tabs>
        <w:jc w:val="both"/>
        <w:rPr>
          <w:rFonts w:ascii="Bookman Old Style" w:hAnsi="Bookman Old Style" w:cs="Arial"/>
          <w:sz w:val="20"/>
          <w:szCs w:val="20"/>
        </w:rPr>
      </w:pPr>
    </w:p>
    <w:p w:rsidR="00B43D66" w:rsidRPr="00471C5D" w:rsidRDefault="00B43D66" w:rsidP="00B43D66">
      <w:pPr>
        <w:tabs>
          <w:tab w:val="right" w:leader="dot" w:pos="8100"/>
          <w:tab w:val="right" w:pos="9360"/>
        </w:tabs>
        <w:jc w:val="both"/>
        <w:rPr>
          <w:rFonts w:ascii="Arial" w:hAnsi="Arial" w:cs="Arial"/>
        </w:rPr>
      </w:pPr>
      <w:r w:rsidRPr="00471C5D">
        <w:rPr>
          <w:rFonts w:ascii="Arial" w:hAnsi="Arial" w:cs="Arial"/>
          <w:b/>
        </w:rPr>
        <w:lastRenderedPageBreak/>
        <w:t>PARAGRAFO QUINTO</w:t>
      </w:r>
      <w:r w:rsidRPr="00471C5D">
        <w:rPr>
          <w:rFonts w:ascii="Arial" w:hAnsi="Arial" w:cs="Arial"/>
        </w:rPr>
        <w:t xml:space="preserve"> – Caso a empresa não tenha conta no BANCO DO BRASIL, ou ainda, NÃO TENHA EMITIDO BOLETO PARA PAGAMENTO, será descontado o valor referente a transferência bancária.</w:t>
      </w:r>
    </w:p>
    <w:p w:rsidR="00B43D66" w:rsidRDefault="00B43D66" w:rsidP="00B43D66">
      <w:pPr>
        <w:pStyle w:val="Centered"/>
        <w:rPr>
          <w:b/>
          <w:bCs/>
        </w:rPr>
      </w:pPr>
    </w:p>
    <w:p w:rsidR="00B43D66" w:rsidRPr="00DF5A44" w:rsidRDefault="00B43D66" w:rsidP="00B43D66">
      <w:pPr>
        <w:pStyle w:val="Centered"/>
        <w:rPr>
          <w:b/>
          <w:bCs/>
        </w:rPr>
      </w:pPr>
      <w:r w:rsidRPr="00DF5A44">
        <w:rPr>
          <w:b/>
          <w:bCs/>
        </w:rPr>
        <w:t>CLÁUSULA SÉTIMA – DO CANCELAMENTO DA ATA</w:t>
      </w:r>
    </w:p>
    <w:p w:rsidR="00B43D66" w:rsidRPr="00DF5A44" w:rsidRDefault="00B43D66" w:rsidP="00B43D66">
      <w:pPr>
        <w:pStyle w:val="Centered"/>
        <w:rPr>
          <w:b/>
          <w:bCs/>
          <w:u w:val="single"/>
        </w:rPr>
      </w:pPr>
    </w:p>
    <w:p w:rsidR="00B43D66" w:rsidRPr="00DF5A44" w:rsidRDefault="00B43D66" w:rsidP="00B43D66">
      <w:pPr>
        <w:pStyle w:val="ParagraphStyle"/>
        <w:jc w:val="both"/>
      </w:pPr>
      <w:r w:rsidRPr="00DF5A44">
        <w:rPr>
          <w:b/>
          <w:bCs/>
        </w:rPr>
        <w:t xml:space="preserve">PARÁGRAFO PRIMEIRO – </w:t>
      </w:r>
      <w:r w:rsidRPr="00DF5A44">
        <w:t>Mesmo comprovada a ocorrência de situação prevista na alínea “d” do inciso II do art. 65 da Lei nº 8.666/93, a Administração, se julgar conveniente, poderá optar por cancelar a Ata/contrato e iniciar outro processo licitatório.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PARAGRAFO SEGUNDO</w:t>
      </w:r>
      <w:r w:rsidRPr="00DF5A44">
        <w:rPr>
          <w:color w:val="000000"/>
        </w:rPr>
        <w:t xml:space="preserve"> - O cancelamento da Ata/Contrato poderá ser formalizado, de pleno direito, nas hipóteses a seguir indicadas, precedidas sempre, porém, do oferecimento de prazo de 10 (dez) dias úteis para o exercício do contraditório e da ampla defesa.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PARAGRAFO TERCEIRO</w:t>
      </w:r>
      <w:r w:rsidRPr="00DF5A44">
        <w:rPr>
          <w:color w:val="000000"/>
        </w:rPr>
        <w:t xml:space="preserve"> – A ata poderá ser cancelad</w:t>
      </w:r>
      <w:r>
        <w:rPr>
          <w:color w:val="000000"/>
        </w:rPr>
        <w:t>a</w:t>
      </w:r>
      <w:r w:rsidRPr="00DF5A44">
        <w:rPr>
          <w:color w:val="000000"/>
        </w:rPr>
        <w:t xml:space="preserve"> pelo órgão responsável quando o contratado: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1</w:t>
      </w:r>
      <w:r w:rsidRPr="00DF5A44">
        <w:rPr>
          <w:color w:val="000000"/>
        </w:rPr>
        <w:t xml:space="preserve"> - descumprir as condições constantes neste Edital, em seus Anexos e no próprio Contrato;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2</w:t>
      </w:r>
      <w:r w:rsidRPr="00DF5A44">
        <w:rPr>
          <w:color w:val="000000"/>
        </w:rPr>
        <w:t xml:space="preserve"> - recusar-se a celebrar o Contrato ou não retirar o instrumento equivalente, no prazo estabelecido pela Administração, sem justificativa aceitável;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3</w:t>
      </w:r>
      <w:r w:rsidRPr="00DF5A44">
        <w:rPr>
          <w:color w:val="000000"/>
        </w:rPr>
        <w:t xml:space="preserve"> - for declarado inidôneo para licitar ou contratar com a Administração, nos termos do artigo 87, inciso IV, da Lei Federal nº 8.666, de 21 de junho de 1993;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4</w:t>
      </w:r>
      <w:r w:rsidRPr="00DF5A44">
        <w:rPr>
          <w:color w:val="000000"/>
        </w:rPr>
        <w:t xml:space="preserve"> - for impedido de licitar e contratar com a Administração nos termos do artigo 7º da Lei Federal nº 10.520, de 17 de julho de 2002.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PARAGRAFO QUARTO</w:t>
      </w:r>
      <w:r w:rsidRPr="00DF5A44">
        <w:rPr>
          <w:color w:val="000000"/>
        </w:rPr>
        <w:t xml:space="preserve"> - A autoridade competente para determinar a contratação poderá revogar a licitação em face de razões de interesse público, derivado de fato superveniente devidamente comprovado, pertinente e suficiente para justificar tal conduta, devendo anulá-la por ilegalidade, de ofício ou por provocação de qualquer pessoa, mediante ato escrito e fundamentado.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PARAGRAFO QUINTO</w:t>
      </w:r>
      <w:r w:rsidRPr="00DF5A44">
        <w:rPr>
          <w:color w:val="000000"/>
        </w:rPr>
        <w:t xml:space="preserve"> - A anulação do procedimento licitatório induz à da ata/Contrato.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PARAGRAFO SEXTO</w:t>
      </w:r>
      <w:r w:rsidRPr="00DF5A44">
        <w:rPr>
          <w:color w:val="000000"/>
        </w:rPr>
        <w:t xml:space="preserve"> - Os licitantes não terão direito à indenização em decorrência da anulação do procedimento licitatório, ressalvado o direito do contratado de boa-fé de ser ressarcido pelos encargos que tiver suportado no cumprimento do Contrato.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PARAGRAFO SÉTIMO</w:t>
      </w:r>
      <w:r w:rsidRPr="00DF5A44">
        <w:rPr>
          <w:color w:val="000000"/>
        </w:rPr>
        <w:t xml:space="preserve"> - A comunicação do cancelamento da ata/Contrato deverá ser feita pessoalmente, ou então por correspondência com aviso de recebimento, juntando o comprovante aos autos.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PARAGRAFO OITAVO</w:t>
      </w:r>
      <w:r w:rsidRPr="00DF5A44">
        <w:rPr>
          <w:color w:val="000000"/>
        </w:rPr>
        <w:t xml:space="preserve"> - No caso de ser ignorado, incerto ou inacessível o endereço da empresa, a comunicação será feita por meio do Diário Oficial ou Jornal de Grande circulação, por duas vezes consecutivas, considerando cancelado o contrato a contar da última publicação.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PARAGRAFO NONO</w:t>
      </w:r>
      <w:r w:rsidRPr="00DF5A44">
        <w:rPr>
          <w:color w:val="000000"/>
        </w:rPr>
        <w:t xml:space="preserve"> - Independentemente das previsões retro indicadas, o fornecedor poderá solicitar o cancelamento do Contrato na ocorrência de fato superveniente que venha comprometer a perfeita execução contratual, decorrente </w:t>
      </w:r>
      <w:r w:rsidRPr="00DF5A44">
        <w:rPr>
          <w:color w:val="000000"/>
        </w:rPr>
        <w:lastRenderedPageBreak/>
        <w:t>de caso fortuito ou de força maior devidamente comprovado.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PARAGRAFO DÉCIMO</w:t>
      </w:r>
      <w:r w:rsidRPr="00DF5A44">
        <w:rPr>
          <w:color w:val="000000"/>
        </w:rPr>
        <w:t xml:space="preserve"> - Ocorrendo a hipótese prevista no </w:t>
      </w:r>
      <w:r w:rsidRPr="00DF5A44">
        <w:rPr>
          <w:b/>
          <w:color w:val="000000"/>
        </w:rPr>
        <w:t>parágrafo anterior</w:t>
      </w:r>
      <w:r w:rsidRPr="00DF5A44">
        <w:rPr>
          <w:color w:val="000000"/>
        </w:rPr>
        <w:t>, a solicitação de cancelamento do fornecedor deverá ser formulada com antecedência mínima de 30 (trinta) dias, sendo facultada ao Município a aplicação das penalidades previstas no Edital.</w:t>
      </w:r>
    </w:p>
    <w:p w:rsidR="00B43D66" w:rsidRPr="00DF5A44" w:rsidRDefault="00B43D66" w:rsidP="00B43D66">
      <w:pPr>
        <w:pStyle w:val="ParagraphStyle"/>
        <w:jc w:val="both"/>
      </w:pPr>
    </w:p>
    <w:p w:rsidR="00B43D66" w:rsidRPr="00DF5A44" w:rsidRDefault="00B43D66" w:rsidP="00B43D66">
      <w:pPr>
        <w:pStyle w:val="ParagraphStyle"/>
        <w:jc w:val="center"/>
        <w:rPr>
          <w:b/>
          <w:bCs/>
          <w:color w:val="000000"/>
        </w:rPr>
      </w:pPr>
      <w:r w:rsidRPr="00DF5A44">
        <w:rPr>
          <w:b/>
          <w:bCs/>
        </w:rPr>
        <w:t>CLÁUSULA OITAVA –</w:t>
      </w:r>
      <w:r>
        <w:rPr>
          <w:b/>
          <w:bCs/>
        </w:rPr>
        <w:t xml:space="preserve"> </w:t>
      </w:r>
      <w:r w:rsidRPr="00DF5A44">
        <w:rPr>
          <w:b/>
          <w:bCs/>
          <w:color w:val="000000"/>
        </w:rPr>
        <w:t>OBRIGAÇÕES DAS PARTES.</w:t>
      </w:r>
    </w:p>
    <w:p w:rsidR="00B43D66" w:rsidRPr="00DF5A44" w:rsidRDefault="00B43D66" w:rsidP="00B43D66">
      <w:pPr>
        <w:pStyle w:val="ParagraphStyle"/>
        <w:jc w:val="both"/>
        <w:rPr>
          <w:b/>
          <w:bCs/>
          <w:color w:val="000000"/>
        </w:rPr>
      </w:pPr>
    </w:p>
    <w:p w:rsidR="00B43D66" w:rsidRPr="00DF5A44" w:rsidRDefault="00B43D66" w:rsidP="00B43D66">
      <w:pPr>
        <w:pStyle w:val="ParagraphStyle"/>
        <w:jc w:val="both"/>
        <w:rPr>
          <w:b/>
          <w:bCs/>
          <w:color w:val="000000"/>
        </w:rPr>
      </w:pPr>
      <w:r w:rsidRPr="00DF5A44">
        <w:rPr>
          <w:b/>
          <w:bCs/>
          <w:color w:val="000000"/>
        </w:rPr>
        <w:t>1</w:t>
      </w:r>
      <w:r w:rsidRPr="00DF5A44">
        <w:rPr>
          <w:color w:val="000000"/>
        </w:rPr>
        <w:t xml:space="preserve"> - </w:t>
      </w:r>
      <w:r w:rsidRPr="00DF5A44">
        <w:rPr>
          <w:b/>
          <w:bCs/>
          <w:color w:val="000000"/>
        </w:rPr>
        <w:t>SÃO OBRIGAÇÕES DO MUNICÍPIO: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1.1</w:t>
      </w:r>
      <w:r w:rsidRPr="00DF5A44">
        <w:rPr>
          <w:color w:val="000000"/>
        </w:rPr>
        <w:t xml:space="preserve"> - Permitir o acesso de funcionários dos fornecedores às suas dependências, para a entrega das Notas Fiscais/Faturas;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1.2</w:t>
      </w:r>
      <w:r w:rsidRPr="00DF5A44">
        <w:rPr>
          <w:color w:val="000000"/>
        </w:rPr>
        <w:t xml:space="preserve"> - Prestar as informações e </w:t>
      </w:r>
      <w:r>
        <w:rPr>
          <w:color w:val="000000"/>
        </w:rPr>
        <w:t xml:space="preserve">os esclarecimentos atinentes a execução dos serviços </w:t>
      </w:r>
      <w:r w:rsidRPr="00DF5A44">
        <w:rPr>
          <w:color w:val="000000"/>
        </w:rPr>
        <w:t>que venham a ser solicitados pelos empregados dos fornecedores;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1.3</w:t>
      </w:r>
      <w:r w:rsidRPr="00DF5A44">
        <w:rPr>
          <w:color w:val="000000"/>
        </w:rPr>
        <w:t xml:space="preserve"> - Impedir que terceiros executem o </w:t>
      </w:r>
      <w:r>
        <w:rPr>
          <w:color w:val="000000"/>
        </w:rPr>
        <w:t>serviço</w:t>
      </w:r>
      <w:r w:rsidRPr="00DF5A44">
        <w:rPr>
          <w:color w:val="000000"/>
        </w:rPr>
        <w:t xml:space="preserve"> objeto deste Pregão;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1.4</w:t>
      </w:r>
      <w:r w:rsidRPr="00DF5A44">
        <w:rPr>
          <w:color w:val="000000"/>
        </w:rPr>
        <w:t xml:space="preserve"> - Efetuar o pagamento devido pelo </w:t>
      </w:r>
      <w:r>
        <w:rPr>
          <w:color w:val="000000"/>
        </w:rPr>
        <w:t>serviço prestado</w:t>
      </w:r>
      <w:r w:rsidRPr="00DF5A44">
        <w:rPr>
          <w:color w:val="000000"/>
        </w:rPr>
        <w:t>, desde que cumpridas todas as exigências deste Edital e de seus Anexos e do contrato;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1.5</w:t>
      </w:r>
      <w:r w:rsidRPr="00DF5A44">
        <w:rPr>
          <w:color w:val="000000"/>
        </w:rPr>
        <w:t xml:space="preserve"> - Comunicar oficialmente ao fornecedor quaisquer falhas ocorridas, consideradas de natureza grave.</w:t>
      </w:r>
    </w:p>
    <w:p w:rsidR="00B43D66" w:rsidRDefault="00B43D66" w:rsidP="00B43D66">
      <w:pPr>
        <w:pStyle w:val="ParagraphStyle"/>
        <w:jc w:val="both"/>
        <w:rPr>
          <w:b/>
          <w:bCs/>
          <w:color w:val="000000"/>
        </w:rPr>
      </w:pPr>
    </w:p>
    <w:p w:rsidR="00B43D66" w:rsidRPr="00DF5A44" w:rsidRDefault="00B43D66" w:rsidP="00B43D66">
      <w:pPr>
        <w:pStyle w:val="ParagraphStyle"/>
        <w:jc w:val="both"/>
        <w:rPr>
          <w:b/>
          <w:bCs/>
          <w:color w:val="000000"/>
        </w:rPr>
      </w:pPr>
      <w:r w:rsidRPr="00DF5A44">
        <w:rPr>
          <w:b/>
          <w:bCs/>
          <w:color w:val="000000"/>
        </w:rPr>
        <w:t>2 - SÃO OBRIGAÇÕES DO FORNECEDOR.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2.1</w:t>
      </w:r>
      <w:r w:rsidRPr="00DF5A44">
        <w:rPr>
          <w:color w:val="000000"/>
        </w:rPr>
        <w:t xml:space="preserve"> - Ser responsável, em relação aos seus empregados, por todas as despesas decorrentes da </w:t>
      </w:r>
      <w:r>
        <w:rPr>
          <w:color w:val="000000"/>
        </w:rPr>
        <w:t>execução dos serviços</w:t>
      </w:r>
      <w:r w:rsidRPr="00DF5A44">
        <w:rPr>
          <w:color w:val="000000"/>
        </w:rPr>
        <w:t>, tais como salários, seguros de acidentes, taxas, impostos e contribuições, indenizações, vale refeição, vale-transporte e outras que porventura venham a ser criadas e exigidas pela legislação;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2.2 -</w:t>
      </w:r>
      <w:r w:rsidRPr="00DF5A44">
        <w:rPr>
          <w:color w:val="000000"/>
        </w:rPr>
        <w:t xml:space="preserve"> Manter durante toda a execução do contrato, em compatibilidade com as obrigações assumidas, todas as condições de habilitação e qualificação exigidas na licitação;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2.3</w:t>
      </w:r>
      <w:r w:rsidRPr="00DF5A44">
        <w:rPr>
          <w:color w:val="000000"/>
        </w:rPr>
        <w:t xml:space="preserve"> - Indicar o responsável por representá-la na execução do contrato, assim como a(s) pessoa(s) que, na ausência do responsável, poderá substituí-lo;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2.4</w:t>
      </w:r>
      <w:r w:rsidRPr="00DF5A44">
        <w:rPr>
          <w:color w:val="000000"/>
        </w:rPr>
        <w:t xml:space="preserve"> </w:t>
      </w:r>
      <w:r>
        <w:rPr>
          <w:color w:val="000000"/>
        </w:rPr>
        <w:t>–</w:t>
      </w:r>
      <w:r w:rsidRPr="00DF5A44">
        <w:rPr>
          <w:color w:val="000000"/>
        </w:rPr>
        <w:t xml:space="preserve"> </w:t>
      </w:r>
      <w:r>
        <w:rPr>
          <w:color w:val="000000"/>
        </w:rPr>
        <w:t>Executar o serviço</w:t>
      </w:r>
      <w:r w:rsidRPr="00DF5A44">
        <w:rPr>
          <w:color w:val="000000"/>
        </w:rPr>
        <w:t xml:space="preserve"> dentro das especificações e/ou condições constantes neste Edital de Pregão e </w:t>
      </w:r>
      <w:smartTag w:uri="urn:schemas-microsoft-com:office:smarttags" w:element="metricconverter">
        <w:smartTagPr>
          <w:attr w:name="ProductID" w:val="19 a"/>
        </w:smartTagPr>
        <w:r w:rsidRPr="00DF5A44">
          <w:rPr>
            <w:color w:val="000000"/>
          </w:rPr>
          <w:t>em seus Anexos</w:t>
        </w:r>
      </w:smartTag>
      <w:r w:rsidRPr="00DF5A44">
        <w:rPr>
          <w:color w:val="000000"/>
        </w:rPr>
        <w:t>;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2.5</w:t>
      </w:r>
      <w:r w:rsidRPr="00DF5A44">
        <w:rPr>
          <w:color w:val="000000"/>
        </w:rPr>
        <w:t xml:space="preserve"> - Executar diretamente o contrato, sem transferência de responsabilidades ou subcontratações não autorizadas pelo Município;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2.6</w:t>
      </w:r>
      <w:r w:rsidRPr="00DF5A44">
        <w:rPr>
          <w:color w:val="000000"/>
        </w:rPr>
        <w:t xml:space="preserve"> - Ser responsável pelos danos causados diretamente ao Município ou a terceiros, decorrentes de sua culpa ou dolo;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2.7</w:t>
      </w:r>
      <w:r w:rsidRPr="00DF5A44">
        <w:rPr>
          <w:color w:val="000000"/>
        </w:rPr>
        <w:t xml:space="preserve"> - Ser responsável por quaisquer danos causados diretamente aos bens de propriedade do Município, ou bens de terceiros, quando estes tenham sido ocasionados por seus empregados.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2.8</w:t>
      </w:r>
      <w:r w:rsidRPr="00DF5A44">
        <w:rPr>
          <w:color w:val="000000"/>
        </w:rPr>
        <w:t xml:space="preserve"> - Prestar todos os esclarecimentos que forem solicitados Município, obrigando-se a atender, de imediato, tod</w:t>
      </w:r>
      <w:r>
        <w:rPr>
          <w:color w:val="000000"/>
        </w:rPr>
        <w:t xml:space="preserve">as as reclamações a respeito </w:t>
      </w:r>
      <w:r w:rsidRPr="00DF5A44">
        <w:rPr>
          <w:color w:val="000000"/>
        </w:rPr>
        <w:t xml:space="preserve">dos </w:t>
      </w:r>
      <w:r w:rsidR="00C241A2">
        <w:rPr>
          <w:color w:val="000000"/>
        </w:rPr>
        <w:t>produtos</w:t>
      </w:r>
      <w:r w:rsidRPr="00DF5A44">
        <w:rPr>
          <w:color w:val="000000"/>
        </w:rPr>
        <w:t xml:space="preserve">; 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2.9</w:t>
      </w:r>
      <w:r w:rsidRPr="00DF5A44">
        <w:rPr>
          <w:color w:val="000000"/>
        </w:rPr>
        <w:t xml:space="preserve"> - Comunicar por escrito ao Município qualquer anormalidade de caráter urgente e prestar os esclarecimentos que julgar necessário;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2.10</w:t>
      </w:r>
      <w:r w:rsidRPr="00DF5A44">
        <w:rPr>
          <w:color w:val="000000"/>
        </w:rPr>
        <w:t xml:space="preserve"> </w:t>
      </w:r>
      <w:r>
        <w:rPr>
          <w:color w:val="000000"/>
        </w:rPr>
        <w:t>–</w:t>
      </w:r>
      <w:r w:rsidRPr="00DF5A44">
        <w:rPr>
          <w:color w:val="000000"/>
        </w:rPr>
        <w:t xml:space="preserve"> </w:t>
      </w:r>
      <w:r>
        <w:rPr>
          <w:color w:val="000000"/>
        </w:rPr>
        <w:t>Executar o serviço</w:t>
      </w:r>
      <w:r w:rsidRPr="00DF5A44">
        <w:rPr>
          <w:color w:val="000000"/>
        </w:rPr>
        <w:t xml:space="preserve"> conforme solicitação da Secretaria competente, do Município.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lastRenderedPageBreak/>
        <w:t>2.11</w:t>
      </w:r>
      <w:r w:rsidRPr="00DF5A44">
        <w:rPr>
          <w:color w:val="000000"/>
        </w:rPr>
        <w:t xml:space="preserve"> - Garantir a qualidade </w:t>
      </w:r>
      <w:r>
        <w:rPr>
          <w:color w:val="000000"/>
        </w:rPr>
        <w:t xml:space="preserve">dos </w:t>
      </w:r>
      <w:r w:rsidR="00C241A2">
        <w:rPr>
          <w:color w:val="000000"/>
        </w:rPr>
        <w:t>produtos</w:t>
      </w:r>
      <w:r>
        <w:rPr>
          <w:color w:val="000000"/>
        </w:rPr>
        <w:t xml:space="preserve">, obrigando-se a </w:t>
      </w:r>
      <w:r w:rsidR="00C241A2">
        <w:rPr>
          <w:color w:val="000000"/>
        </w:rPr>
        <w:t>troca da</w:t>
      </w:r>
      <w:r>
        <w:rPr>
          <w:color w:val="000000"/>
        </w:rPr>
        <w:t xml:space="preserve">quele que </w:t>
      </w:r>
      <w:r w:rsidR="00C241A2">
        <w:rPr>
          <w:color w:val="000000"/>
        </w:rPr>
        <w:t>entregue</w:t>
      </w:r>
      <w:r w:rsidRPr="00DF5A44">
        <w:rPr>
          <w:color w:val="000000"/>
        </w:rPr>
        <w:t xml:space="preserve"> em desacordo com o apresentado na proposta; e</w:t>
      </w:r>
    </w:p>
    <w:p w:rsidR="00B43D66" w:rsidRDefault="00B43D66" w:rsidP="00B43D66">
      <w:pPr>
        <w:pStyle w:val="ParagraphStyle"/>
        <w:jc w:val="both"/>
        <w:rPr>
          <w:b/>
          <w:bCs/>
          <w:color w:val="000000"/>
        </w:rPr>
      </w:pPr>
    </w:p>
    <w:p w:rsidR="00B43D66" w:rsidRPr="00DF5A44" w:rsidRDefault="00B43D66" w:rsidP="00B43D66">
      <w:pPr>
        <w:pStyle w:val="ParagraphStyle"/>
        <w:jc w:val="both"/>
        <w:rPr>
          <w:b/>
          <w:color w:val="000000"/>
        </w:rPr>
      </w:pPr>
      <w:r w:rsidRPr="00DF5A44">
        <w:rPr>
          <w:b/>
          <w:bCs/>
          <w:color w:val="000000"/>
        </w:rPr>
        <w:t>3 -</w:t>
      </w:r>
      <w:r w:rsidRPr="00DF5A44">
        <w:rPr>
          <w:b/>
          <w:color w:val="000000"/>
        </w:rPr>
        <w:t xml:space="preserve"> ADICIONALMENTE, O FORNECEDOR DEVERÁ: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3.1</w:t>
      </w:r>
      <w:r w:rsidRPr="00DF5A44">
        <w:rPr>
          <w:color w:val="000000"/>
        </w:rPr>
        <w:t xml:space="preserve"> - Assumir a responsabilidade por todos os encargos previdenciários e obrigações sociais previstos na legislação social e trabalhista em vigor, obrigando-se a saldá-los na época própria, vez que os seus empregados não manterão nenhum vínculo empregatício com o Município. 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3.2</w:t>
      </w:r>
      <w:r w:rsidRPr="00DF5A44">
        <w:rPr>
          <w:color w:val="000000"/>
        </w:rPr>
        <w:t xml:space="preserve"> - Assumir, também, a responsabilidade por todas as providências e obrigações estabelecidas na legislação específica de acidentes de trabalho, quando, em ocorrência da espécie, forem vítimas os seus empregados quando da </w:t>
      </w:r>
      <w:r w:rsidR="00C241A2">
        <w:rPr>
          <w:color w:val="000000"/>
        </w:rPr>
        <w:t xml:space="preserve">entrega </w:t>
      </w:r>
      <w:r>
        <w:rPr>
          <w:color w:val="000000"/>
        </w:rPr>
        <w:t xml:space="preserve">dos </w:t>
      </w:r>
      <w:r w:rsidR="00C241A2">
        <w:rPr>
          <w:color w:val="000000"/>
        </w:rPr>
        <w:t>produtos</w:t>
      </w:r>
      <w:r w:rsidRPr="00DF5A44">
        <w:rPr>
          <w:color w:val="000000"/>
        </w:rPr>
        <w:t xml:space="preserve"> objeto licitado ou em conexão com ela, ainda que acontecido em dependência do Município;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3.3</w:t>
      </w:r>
      <w:r w:rsidRPr="00DF5A44">
        <w:rPr>
          <w:color w:val="000000"/>
        </w:rPr>
        <w:t xml:space="preserve"> - Assumir todos os encargos de possível demanda trabalhista, civil ou penal, relacionadas ao </w:t>
      </w:r>
      <w:r>
        <w:rPr>
          <w:color w:val="000000"/>
        </w:rPr>
        <w:t>serviço executado</w:t>
      </w:r>
      <w:r w:rsidRPr="00DF5A44">
        <w:rPr>
          <w:color w:val="000000"/>
        </w:rPr>
        <w:t xml:space="preserve"> objeto licitado, originariamente ou vinculada por prevenção, conexão ou continência; e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3.4</w:t>
      </w:r>
      <w:r w:rsidRPr="00DF5A44">
        <w:rPr>
          <w:color w:val="000000"/>
        </w:rPr>
        <w:t xml:space="preserve"> - Assumir, ainda, a responsabilidade pelos encargos fiscais e comerciais resultantes da adjudicação do objeto deste Pregão.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3.5</w:t>
      </w:r>
      <w:r w:rsidRPr="00DF5A44">
        <w:rPr>
          <w:color w:val="000000"/>
        </w:rPr>
        <w:t xml:space="preserve"> - A inadimplência do fornecedor, com referência aos encargos estabelecidos no subitem </w:t>
      </w:r>
      <w:r w:rsidRPr="00DF5A44">
        <w:rPr>
          <w:b/>
          <w:bCs/>
          <w:color w:val="000000"/>
        </w:rPr>
        <w:t>23.3</w:t>
      </w:r>
      <w:r w:rsidRPr="00DF5A44">
        <w:rPr>
          <w:color w:val="000000"/>
        </w:rPr>
        <w:t xml:space="preserve">, não transfere a responsabilidade por seu pagamento ao Município, nem poderá onerar o objeto deste Edital, razão pela qual o fornecedor signatário do contrato renuncia expressamente a qualquer vínculo de solidariedade, ativa ou passiva, com o Município. 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3.6</w:t>
      </w:r>
      <w:r w:rsidRPr="00DF5A44">
        <w:rPr>
          <w:color w:val="000000"/>
        </w:rPr>
        <w:t xml:space="preserve"> - Deverá o fornecedor observar, ainda, o seguinte: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3.6.1</w:t>
      </w:r>
      <w:r w:rsidRPr="00DF5A44">
        <w:rPr>
          <w:color w:val="000000"/>
        </w:rPr>
        <w:t xml:space="preserve"> - é expressamente proibida a contratação de servidor pertencente ao quadro de pessoal do Município, ou que nela ocupe cargo de confiança, durante a vigência do contrato;</w:t>
      </w:r>
    </w:p>
    <w:p w:rsidR="00B43D66" w:rsidRPr="00DF5A44" w:rsidRDefault="00B43D66" w:rsidP="00B43D66">
      <w:pPr>
        <w:pStyle w:val="ParagraphStyle"/>
        <w:jc w:val="both"/>
        <w:rPr>
          <w:color w:val="000000"/>
        </w:rPr>
      </w:pPr>
      <w:r w:rsidRPr="00DF5A44">
        <w:rPr>
          <w:b/>
          <w:bCs/>
          <w:color w:val="000000"/>
        </w:rPr>
        <w:t>3.6.2</w:t>
      </w:r>
      <w:r w:rsidRPr="00DF5A44">
        <w:rPr>
          <w:color w:val="000000"/>
        </w:rPr>
        <w:t xml:space="preserve"> - é expressamente proibida, também, a veiculação de publicidade acerca do contrato, salvo se houver prévia autorização do Município.</w:t>
      </w:r>
    </w:p>
    <w:p w:rsidR="00B43D66" w:rsidRPr="00DF5A44" w:rsidRDefault="00B43D66" w:rsidP="00B43D66">
      <w:pPr>
        <w:pStyle w:val="Centered"/>
        <w:jc w:val="both"/>
        <w:rPr>
          <w:color w:val="000000"/>
        </w:rPr>
      </w:pPr>
      <w:r w:rsidRPr="00DF5A44">
        <w:rPr>
          <w:b/>
          <w:bCs/>
          <w:color w:val="000000"/>
        </w:rPr>
        <w:t>3.6.3</w:t>
      </w:r>
      <w:r w:rsidRPr="00DF5A44">
        <w:rPr>
          <w:color w:val="000000"/>
        </w:rPr>
        <w:t xml:space="preserve"> - é vedada a subcontratação de outra empresa para a execução do objeto deste Edital.</w:t>
      </w:r>
    </w:p>
    <w:p w:rsidR="00B43D66" w:rsidRPr="00DF5A44" w:rsidRDefault="00B43D66" w:rsidP="00B43D66">
      <w:pPr>
        <w:pStyle w:val="Centered"/>
        <w:jc w:val="both"/>
        <w:rPr>
          <w:color w:val="000000"/>
        </w:rPr>
      </w:pPr>
    </w:p>
    <w:p w:rsidR="00B43D66" w:rsidRPr="00DF5A44" w:rsidRDefault="00B43D66" w:rsidP="00B43D66">
      <w:pPr>
        <w:pStyle w:val="Centered"/>
        <w:tabs>
          <w:tab w:val="left" w:pos="2250"/>
          <w:tab w:val="center" w:pos="4819"/>
        </w:tabs>
        <w:jc w:val="left"/>
        <w:rPr>
          <w:b/>
          <w:bCs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CLÁ</w:t>
      </w:r>
      <w:r w:rsidRPr="00DF5A44">
        <w:rPr>
          <w:b/>
          <w:color w:val="000000"/>
        </w:rPr>
        <w:t xml:space="preserve">USULA NONA - </w:t>
      </w:r>
      <w:r w:rsidRPr="00DF5A44">
        <w:rPr>
          <w:b/>
          <w:bCs/>
        </w:rPr>
        <w:t>DISPOSIÇÕES GERAIS</w:t>
      </w:r>
    </w:p>
    <w:p w:rsidR="00B43D66" w:rsidRPr="00DF5A44" w:rsidRDefault="00B43D66" w:rsidP="00B43D66">
      <w:pPr>
        <w:pStyle w:val="Centered"/>
        <w:rPr>
          <w:b/>
          <w:bCs/>
          <w:u w:val="single"/>
        </w:rPr>
      </w:pPr>
    </w:p>
    <w:p w:rsidR="00B43D66" w:rsidRPr="00DF5A44" w:rsidRDefault="00B43D66" w:rsidP="00B43D66">
      <w:pPr>
        <w:pStyle w:val="ParagraphStyle"/>
        <w:jc w:val="both"/>
      </w:pPr>
      <w:r w:rsidRPr="00DF5A44">
        <w:rPr>
          <w:b/>
          <w:bCs/>
        </w:rPr>
        <w:t xml:space="preserve">PARÁGRAFO PRIMEIRO – </w:t>
      </w:r>
      <w:r w:rsidRPr="00DF5A44">
        <w:t>A presente ata de registro de preços somente terá eficácia após a publicação do respectivo extrato no diário oficial.</w:t>
      </w:r>
    </w:p>
    <w:p w:rsidR="00B43D66" w:rsidRPr="00DF5A44" w:rsidRDefault="00B43D66" w:rsidP="00B43D66">
      <w:pPr>
        <w:pStyle w:val="ParagraphStyle"/>
        <w:jc w:val="both"/>
      </w:pPr>
      <w:r w:rsidRPr="00DF5A44">
        <w:rPr>
          <w:b/>
          <w:bCs/>
        </w:rPr>
        <w:t xml:space="preserve">PARÁGRAFO SEGUNDO – </w:t>
      </w:r>
      <w:r w:rsidRPr="00DF5A44">
        <w:t>Integram o presente instrumento, independente de transcrição, todas as condições e respectivos atos do Pregão Presencial em epigrafe.</w:t>
      </w:r>
    </w:p>
    <w:p w:rsidR="00B43D66" w:rsidRPr="00B63E78" w:rsidRDefault="00B43D66" w:rsidP="00B43D66">
      <w:pPr>
        <w:pStyle w:val="ParagraphStyle"/>
        <w:jc w:val="both"/>
      </w:pPr>
      <w:r w:rsidRPr="00B63E78">
        <w:rPr>
          <w:b/>
          <w:bCs/>
        </w:rPr>
        <w:t xml:space="preserve">PARÁGRAFO TERCEIRO – </w:t>
      </w:r>
      <w:r w:rsidRPr="00B63E78">
        <w:t>A gestão do presente contrato será de responsabilidade da</w:t>
      </w:r>
      <w:r>
        <w:t xml:space="preserve"> S</w:t>
      </w:r>
      <w:r w:rsidRPr="00B63E78">
        <w:t>r</w:t>
      </w:r>
      <w:r>
        <w:t>a</w:t>
      </w:r>
      <w:r w:rsidRPr="00B63E78">
        <w:t xml:space="preserve">. Adriana Santos </w:t>
      </w:r>
      <w:r>
        <w:t xml:space="preserve">de </w:t>
      </w:r>
      <w:r w:rsidRPr="00B63E78">
        <w:t>Souza.</w:t>
      </w:r>
    </w:p>
    <w:p w:rsidR="00B43D66" w:rsidRPr="00B63E78" w:rsidRDefault="00B43D66" w:rsidP="00B43D66">
      <w:pPr>
        <w:pStyle w:val="ParagraphStyle"/>
        <w:jc w:val="both"/>
      </w:pPr>
      <w:r>
        <w:rPr>
          <w:b/>
        </w:rPr>
        <w:t>PARÁGRAFO</w:t>
      </w:r>
      <w:r w:rsidRPr="00B63E78">
        <w:rPr>
          <w:b/>
        </w:rPr>
        <w:t xml:space="preserve"> QUARTO</w:t>
      </w:r>
      <w:r w:rsidRPr="00B63E78">
        <w:t xml:space="preserve"> – O Fiscal de contrato responsável pela fiscalização das obrigações decorrentes do presente contrato será de responsabilidade d</w:t>
      </w:r>
      <w:r>
        <w:t xml:space="preserve">o Sr. </w:t>
      </w:r>
      <w:r w:rsidR="00C31F81">
        <w:t xml:space="preserve">Osmar </w:t>
      </w:r>
      <w:proofErr w:type="spellStart"/>
      <w:r w:rsidR="00C31F81">
        <w:t>Daga</w:t>
      </w:r>
      <w:proofErr w:type="spellEnd"/>
      <w:r>
        <w:t>.</w:t>
      </w:r>
    </w:p>
    <w:p w:rsidR="00B43D66" w:rsidRPr="00DF5A44" w:rsidRDefault="00B43D66" w:rsidP="00B43D6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</w:rPr>
        <w:t>PARÁ</w:t>
      </w:r>
      <w:r w:rsidRPr="00DF5A44">
        <w:rPr>
          <w:rFonts w:ascii="Arial" w:hAnsi="Arial" w:cs="Arial"/>
          <w:b/>
        </w:rPr>
        <w:t>GRAFO QUARTO</w:t>
      </w:r>
      <w:r w:rsidRPr="00DF5A44">
        <w:rPr>
          <w:rFonts w:ascii="Arial" w:hAnsi="Arial" w:cs="Arial"/>
        </w:rPr>
        <w:t xml:space="preserve"> - </w:t>
      </w:r>
      <w:r w:rsidRPr="00DF5A44">
        <w:rPr>
          <w:rFonts w:ascii="Arial" w:hAnsi="Arial" w:cs="Arial"/>
          <w:b/>
          <w:bCs/>
          <w:iCs/>
        </w:rPr>
        <w:t xml:space="preserve">DA FRAUDE E DA CORRUPÇÃO </w:t>
      </w:r>
    </w:p>
    <w:p w:rsidR="00B43D66" w:rsidRPr="00DF5A44" w:rsidRDefault="00B43D66" w:rsidP="00B43D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F5A44">
        <w:rPr>
          <w:rFonts w:ascii="Arial" w:hAnsi="Arial" w:cs="Arial"/>
          <w:iCs/>
        </w:rPr>
        <w:lastRenderedPageBreak/>
        <w:t xml:space="preserve">I - Os licitantes devem observar e o contratado deve observar e fazer observar, por seus fornecedores e subcontratados, se admitida subcontratação, o mais alto padrão de ética durante todo o processo de licitação, de contratação e de execução do objeto contratual. </w:t>
      </w:r>
    </w:p>
    <w:p w:rsidR="00B43D66" w:rsidRPr="00DF5A44" w:rsidRDefault="00B43D66" w:rsidP="00B43D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F5A44">
        <w:rPr>
          <w:rFonts w:ascii="Arial" w:hAnsi="Arial" w:cs="Arial"/>
          <w:iCs/>
        </w:rPr>
        <w:t xml:space="preserve">Para os propósitos desta cláusula, definem-se as seguintes práticas: </w:t>
      </w:r>
    </w:p>
    <w:p w:rsidR="00B43D66" w:rsidRPr="00DF5A44" w:rsidRDefault="00B43D66" w:rsidP="00B43D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F5A44">
        <w:rPr>
          <w:rFonts w:ascii="Arial" w:hAnsi="Arial" w:cs="Arial"/>
          <w:iCs/>
        </w:rPr>
        <w:t xml:space="preserve">a) </w:t>
      </w:r>
      <w:r w:rsidRPr="00DF5A44">
        <w:rPr>
          <w:rFonts w:ascii="Arial" w:hAnsi="Arial" w:cs="Arial"/>
          <w:b/>
          <w:bCs/>
          <w:iCs/>
        </w:rPr>
        <w:t>PRÁTICA CORRUPTA</w:t>
      </w:r>
      <w:r w:rsidRPr="00DF5A44">
        <w:rPr>
          <w:rFonts w:ascii="Arial" w:hAnsi="Arial" w:cs="Arial"/>
          <w:iCs/>
        </w:rPr>
        <w:t xml:space="preserve">: oferecer, dar, receber ou solicitar, direta ou indiretamente, qualquer vantagem com o objetivo de influenciar a ação de servidor público no processo de licitação ou na execução de contrato; </w:t>
      </w:r>
    </w:p>
    <w:p w:rsidR="00B43D66" w:rsidRPr="00DF5A44" w:rsidRDefault="00B43D66" w:rsidP="00B43D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F5A44">
        <w:rPr>
          <w:rFonts w:ascii="Arial" w:hAnsi="Arial" w:cs="Arial"/>
          <w:iCs/>
        </w:rPr>
        <w:t xml:space="preserve">b) </w:t>
      </w:r>
      <w:r w:rsidRPr="00DF5A44">
        <w:rPr>
          <w:rFonts w:ascii="Arial" w:hAnsi="Arial" w:cs="Arial"/>
          <w:b/>
          <w:bCs/>
          <w:iCs/>
        </w:rPr>
        <w:t>PRÁTICA FRAUDULENTA</w:t>
      </w:r>
      <w:r w:rsidRPr="00DF5A44">
        <w:rPr>
          <w:rFonts w:ascii="Arial" w:hAnsi="Arial" w:cs="Arial"/>
          <w:iCs/>
        </w:rPr>
        <w:t xml:space="preserve">: a falsificação ou omissão dos fatos, com o objetivo de influenciar o processo de licitação ou de execução de contrato; </w:t>
      </w:r>
    </w:p>
    <w:p w:rsidR="00B43D66" w:rsidRPr="00DF5A44" w:rsidRDefault="00B43D66" w:rsidP="00B43D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F5A44">
        <w:rPr>
          <w:rFonts w:ascii="Arial" w:hAnsi="Arial" w:cs="Arial"/>
          <w:iCs/>
        </w:rPr>
        <w:t xml:space="preserve">c) </w:t>
      </w:r>
      <w:r w:rsidRPr="00DF5A44">
        <w:rPr>
          <w:rFonts w:ascii="Arial" w:hAnsi="Arial" w:cs="Arial"/>
          <w:b/>
          <w:bCs/>
          <w:iCs/>
        </w:rPr>
        <w:t>PRÁTICA COLUSIVA</w:t>
      </w:r>
      <w:r w:rsidRPr="00DF5A44">
        <w:rPr>
          <w:rFonts w:ascii="Arial" w:hAnsi="Arial" w:cs="Arial"/>
          <w:iCs/>
        </w:rPr>
        <w:t xml:space="preserve">: esquematizar ou estabelecer um acordo entre dois ou mais licitantes, com ou sem o conhecimento de representantes ou prepostos de órgão licitador, visando estabelecer preços em níveis artificiais e não-competitivos; </w:t>
      </w:r>
    </w:p>
    <w:p w:rsidR="00B43D66" w:rsidRPr="00DF5A44" w:rsidRDefault="00B43D66" w:rsidP="00B43D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F5A44">
        <w:rPr>
          <w:rFonts w:ascii="Arial" w:hAnsi="Arial" w:cs="Arial"/>
          <w:iCs/>
        </w:rPr>
        <w:t xml:space="preserve">d) </w:t>
      </w:r>
      <w:r w:rsidRPr="00DF5A44">
        <w:rPr>
          <w:rFonts w:ascii="Arial" w:hAnsi="Arial" w:cs="Arial"/>
          <w:b/>
          <w:bCs/>
          <w:iCs/>
        </w:rPr>
        <w:t>PRÁTICA COERCITIVA</w:t>
      </w:r>
      <w:r w:rsidRPr="00DF5A44">
        <w:rPr>
          <w:rFonts w:ascii="Arial" w:hAnsi="Arial" w:cs="Arial"/>
          <w:iCs/>
        </w:rPr>
        <w:t xml:space="preserve">: causar danos ou ameaçar causar dano, direta ou indiretamente, às pessoas ou sua propriedade, visando influenciar sua participação em um processo licitatório ou afetar a execução do contrato; </w:t>
      </w:r>
    </w:p>
    <w:p w:rsidR="00B43D66" w:rsidRPr="00DF5A44" w:rsidRDefault="00B43D66" w:rsidP="00B43D66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DF5A44">
        <w:rPr>
          <w:rFonts w:ascii="Arial" w:hAnsi="Arial" w:cs="Arial"/>
          <w:iCs/>
        </w:rPr>
        <w:t xml:space="preserve">e) </w:t>
      </w:r>
      <w:r w:rsidRPr="00DF5A44">
        <w:rPr>
          <w:rFonts w:ascii="Arial" w:hAnsi="Arial" w:cs="Arial"/>
          <w:b/>
          <w:bCs/>
          <w:iCs/>
        </w:rPr>
        <w:t>PRÁTICA OBSTRUTIVA</w:t>
      </w:r>
      <w:r w:rsidRPr="00DF5A44">
        <w:rPr>
          <w:rFonts w:ascii="Arial" w:hAnsi="Arial" w:cs="Arial"/>
          <w:iCs/>
        </w:rPr>
        <w:t xml:space="preserve">: </w:t>
      </w:r>
    </w:p>
    <w:p w:rsidR="00B43D66" w:rsidRPr="00DF5A44" w:rsidRDefault="00B43D66" w:rsidP="00B43D66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DF5A44">
        <w:rPr>
          <w:rFonts w:ascii="Arial" w:hAnsi="Arial" w:cs="Arial"/>
          <w:iCs/>
        </w:rPr>
        <w:t xml:space="preserve">(I) destruir, falsificar, alterar ou ocultar provas em inspeções ou fazer declarações falsas aos representantes do organismo financeiro multilateral, com o objetivo de impedir materialmente a apuração de alegações de prática prevista, deste Edital; (ii) atos cuja intenção seja impedir materialmente o exercício do direito de o organismo financeiro multilateral promover inspeção. </w:t>
      </w:r>
    </w:p>
    <w:p w:rsidR="00B43D66" w:rsidRPr="00DF5A44" w:rsidRDefault="00B43D66" w:rsidP="00B43D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F5A44">
        <w:rPr>
          <w:rFonts w:ascii="Arial" w:hAnsi="Arial" w:cs="Arial"/>
          <w:iCs/>
        </w:rPr>
        <w:t xml:space="preserve">II </w:t>
      </w:r>
      <w:r w:rsidRPr="00DF5A44">
        <w:rPr>
          <w:rFonts w:ascii="Arial" w:hAnsi="Arial" w:cs="Arial"/>
        </w:rPr>
        <w:t xml:space="preserve">– </w:t>
      </w:r>
      <w:r w:rsidRPr="00DF5A44">
        <w:rPr>
          <w:rFonts w:ascii="Arial" w:hAnsi="Arial" w:cs="Arial"/>
          <w:iCs/>
        </w:rPr>
        <w:t xml:space="preserve">Na hipótese de financiamento, parcial ou integral, por organismo financeiro multilateral, mediante adiantamento ou reembolso, este organismo imporá sanção sobre uma empresa ou pessoa física, inclusive declarando-a inelegível, indefinidamente ou por prazo determinado, para a outorga de contratos financiados pelo organismo se, em qualquer momento, constatar o envolvimento da empresa diretamente ou por meio de um agente, em práticas corruptas, fraudulentas, </w:t>
      </w:r>
      <w:proofErr w:type="spellStart"/>
      <w:r w:rsidRPr="00DF5A44">
        <w:rPr>
          <w:rFonts w:ascii="Arial" w:hAnsi="Arial" w:cs="Arial"/>
          <w:iCs/>
        </w:rPr>
        <w:t>colusivas</w:t>
      </w:r>
      <w:proofErr w:type="spellEnd"/>
      <w:r w:rsidRPr="00DF5A44">
        <w:rPr>
          <w:rFonts w:ascii="Arial" w:hAnsi="Arial" w:cs="Arial"/>
          <w:iCs/>
        </w:rPr>
        <w:t xml:space="preserve">, coercitivas ou obstrutivas ao participar da licitação ou da execução de um contrato financiado pelo organismo. </w:t>
      </w:r>
    </w:p>
    <w:p w:rsidR="00B43D66" w:rsidRPr="00DF5A44" w:rsidRDefault="00B43D66" w:rsidP="00B43D66">
      <w:pPr>
        <w:pStyle w:val="ParagraphStyle"/>
        <w:jc w:val="both"/>
        <w:rPr>
          <w:iCs/>
        </w:rPr>
      </w:pPr>
      <w:r w:rsidRPr="00DF5A44">
        <w:rPr>
          <w:iCs/>
        </w:rPr>
        <w:t>III – Considerando os propósitos das cláusulas acima, o licitante vencedor, como condição para a contratação, deverá concordar e autorizar que, na hipótese de o contrato vir a ser financiado, em parte ou integralmente, por organismo financeiro multilateral, mediante adiantamento ou reembolso, permitirá que o organismo financeiro e/ou pessoas por ele formalmente indicadas possam inspecionar o local de execução do contato e todos os documentos, contas e registros relacionados à licitação e à execução do contrato.</w:t>
      </w:r>
    </w:p>
    <w:p w:rsidR="00B43D66" w:rsidRPr="00DF5A44" w:rsidRDefault="00B43D66" w:rsidP="00B43D66">
      <w:pPr>
        <w:pStyle w:val="ParagraphStyle"/>
        <w:jc w:val="center"/>
        <w:rPr>
          <w:b/>
          <w:bCs/>
        </w:rPr>
      </w:pPr>
    </w:p>
    <w:p w:rsidR="00B43D66" w:rsidRPr="00DF5A44" w:rsidRDefault="00B43D66" w:rsidP="00B43D66">
      <w:pPr>
        <w:pStyle w:val="ParagraphStyle"/>
        <w:jc w:val="center"/>
        <w:rPr>
          <w:b/>
          <w:bCs/>
        </w:rPr>
      </w:pPr>
      <w:r w:rsidRPr="00DF5A44">
        <w:rPr>
          <w:b/>
          <w:bCs/>
        </w:rPr>
        <w:t>CLÁUSULA DÉCIMA - SUCESSÃO E FORO</w:t>
      </w:r>
    </w:p>
    <w:p w:rsidR="00B43D66" w:rsidRPr="00DF5A44" w:rsidRDefault="00B43D66" w:rsidP="00B43D66">
      <w:pPr>
        <w:pStyle w:val="ParagraphStyle"/>
        <w:jc w:val="both"/>
        <w:rPr>
          <w:b/>
          <w:bCs/>
        </w:rPr>
      </w:pPr>
    </w:p>
    <w:p w:rsidR="00B43D66" w:rsidRPr="00DF5A44" w:rsidRDefault="00B43D66" w:rsidP="00B43D66">
      <w:pPr>
        <w:pStyle w:val="ParagraphStyle"/>
        <w:jc w:val="both"/>
      </w:pPr>
      <w:r w:rsidRPr="00DF5A44">
        <w:rPr>
          <w:b/>
        </w:rPr>
        <w:t xml:space="preserve">PARAGRAFO PRIMEIRO - </w:t>
      </w:r>
      <w:r w:rsidRPr="00DF5A44">
        <w:t xml:space="preserve">As partes firmam o presente instrumento em 02 (duas) vias de igual teor e forma, obrigando-se por si e seus sucessores, ao fiel cumprimento do que ora ficou ajustado, elegendo para Foro da Comarca de </w:t>
      </w:r>
      <w:r>
        <w:t>CATANDUVAS</w:t>
      </w:r>
      <w:r w:rsidRPr="00DF5A44">
        <w:t xml:space="preserve">, Estado do Paraná, não obstante qualquer mudança de domicílio </w:t>
      </w:r>
      <w:r w:rsidRPr="00DF5A44">
        <w:lastRenderedPageBreak/>
        <w:t>da CONTRATADA, que em razão disso é obrigada a manter um representante com plenos poderes para receber notificações, citação inicial e outras em direito permitidas.</w:t>
      </w:r>
    </w:p>
    <w:p w:rsidR="00B43D66" w:rsidRDefault="00B43D66" w:rsidP="00B43D66">
      <w:pPr>
        <w:ind w:firstLine="720"/>
        <w:jc w:val="both"/>
        <w:rPr>
          <w:rFonts w:ascii="Arial" w:hAnsi="Arial" w:cs="Arial"/>
          <w:b/>
        </w:rPr>
      </w:pPr>
    </w:p>
    <w:p w:rsidR="00B43D66" w:rsidRDefault="00B43D66" w:rsidP="00B43D66">
      <w:pPr>
        <w:ind w:firstLine="720"/>
        <w:jc w:val="both"/>
        <w:rPr>
          <w:rFonts w:ascii="Arial" w:hAnsi="Arial" w:cs="Arial"/>
          <w:b/>
        </w:rPr>
      </w:pPr>
    </w:p>
    <w:p w:rsidR="00B43D66" w:rsidRDefault="00B43D66" w:rsidP="00B43D66">
      <w:pPr>
        <w:ind w:firstLine="720"/>
        <w:jc w:val="both"/>
        <w:rPr>
          <w:rFonts w:ascii="Arial" w:hAnsi="Arial" w:cs="Arial"/>
          <w:b/>
        </w:rPr>
      </w:pPr>
    </w:p>
    <w:p w:rsidR="00B43D66" w:rsidRPr="00DF5A44" w:rsidRDefault="00B43D66" w:rsidP="00B43D66">
      <w:pPr>
        <w:ind w:firstLine="720"/>
        <w:jc w:val="both"/>
        <w:rPr>
          <w:rFonts w:ascii="Arial" w:hAnsi="Arial" w:cs="Arial"/>
          <w:b/>
        </w:rPr>
      </w:pPr>
    </w:p>
    <w:p w:rsidR="00B43D66" w:rsidRDefault="00B43D66" w:rsidP="00B43D66">
      <w:pPr>
        <w:tabs>
          <w:tab w:val="left" w:pos="413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MUNICÍPIO DE IBEMA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 xml:space="preserve">MECÂNICA TOBALDINI LTDA </w:t>
      </w:r>
    </w:p>
    <w:p w:rsidR="00B43D66" w:rsidRDefault="00B43D66" w:rsidP="00B43D66">
      <w:pPr>
        <w:tabs>
          <w:tab w:val="left" w:pos="413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Adelar Antonio </w:t>
      </w:r>
      <w:proofErr w:type="spellStart"/>
      <w:r>
        <w:rPr>
          <w:rFonts w:ascii="Arial" w:hAnsi="Arial" w:cs="Arial"/>
          <w:b/>
        </w:rPr>
        <w:t>Arrosi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Sergio Antonio </w:t>
      </w:r>
      <w:proofErr w:type="spellStart"/>
      <w:r>
        <w:rPr>
          <w:rFonts w:ascii="Arial" w:hAnsi="Arial" w:cs="Arial"/>
          <w:b/>
        </w:rPr>
        <w:t>Tobaldini</w:t>
      </w:r>
      <w:proofErr w:type="spellEnd"/>
    </w:p>
    <w:p w:rsidR="00B43D66" w:rsidRDefault="00B43D66" w:rsidP="00B43D66">
      <w:pPr>
        <w:tabs>
          <w:tab w:val="left" w:pos="41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CPF: 313.957.679-04                                        CPF: 580.753.489-15 </w:t>
      </w:r>
    </w:p>
    <w:p w:rsidR="00B43D66" w:rsidRDefault="00B43D66" w:rsidP="00B43D66">
      <w:pPr>
        <w:tabs>
          <w:tab w:val="left" w:pos="4130"/>
        </w:tabs>
        <w:jc w:val="both"/>
        <w:rPr>
          <w:rFonts w:ascii="Arial" w:hAnsi="Arial" w:cs="Arial"/>
          <w:b/>
        </w:rPr>
      </w:pPr>
    </w:p>
    <w:p w:rsidR="00B43D66" w:rsidRDefault="00B43D66" w:rsidP="00B43D66">
      <w:pPr>
        <w:tabs>
          <w:tab w:val="left" w:pos="4130"/>
        </w:tabs>
        <w:jc w:val="both"/>
        <w:rPr>
          <w:rFonts w:ascii="Arial" w:hAnsi="Arial" w:cs="Arial"/>
          <w:b/>
        </w:rPr>
      </w:pPr>
    </w:p>
    <w:p w:rsidR="00B43D66" w:rsidRDefault="00B43D66" w:rsidP="00B43D66">
      <w:pPr>
        <w:tabs>
          <w:tab w:val="left" w:pos="4130"/>
        </w:tabs>
        <w:jc w:val="both"/>
        <w:rPr>
          <w:rFonts w:ascii="Arial" w:hAnsi="Arial" w:cs="Arial"/>
          <w:b/>
        </w:rPr>
      </w:pPr>
    </w:p>
    <w:p w:rsidR="00B43D66" w:rsidRDefault="00B43D66" w:rsidP="00B43D6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Osmar </w:t>
      </w:r>
      <w:proofErr w:type="spellStart"/>
      <w:r>
        <w:rPr>
          <w:rFonts w:ascii="Arial" w:hAnsi="Arial" w:cs="Arial"/>
          <w:b/>
        </w:rPr>
        <w:t>Daga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Adriana Santos de Souza</w:t>
      </w:r>
    </w:p>
    <w:p w:rsidR="00B43D66" w:rsidRDefault="00B43D66" w:rsidP="00B43D66">
      <w:pPr>
        <w:jc w:val="both"/>
      </w:pPr>
      <w:r>
        <w:rPr>
          <w:rFonts w:ascii="Arial" w:hAnsi="Arial" w:cs="Arial"/>
          <w:b/>
        </w:rPr>
        <w:t>Fiscal da Ata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>Gestora da Ata</w:t>
      </w:r>
    </w:p>
    <w:p w:rsidR="00B43D66" w:rsidRDefault="00B43D66" w:rsidP="00B43D66"/>
    <w:p w:rsidR="003B68D1" w:rsidRDefault="003B68D1" w:rsidP="00B43D66"/>
    <w:sectPr w:rsidR="003B68D1" w:rsidSect="00B43D66">
      <w:headerReference w:type="default" r:id="rId6"/>
      <w:pgSz w:w="11906" w:h="16838"/>
      <w:pgMar w:top="2835" w:right="144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1A2" w:rsidRDefault="00C241A2" w:rsidP="00C241A2">
      <w:r>
        <w:separator/>
      </w:r>
    </w:p>
  </w:endnote>
  <w:endnote w:type="continuationSeparator" w:id="1">
    <w:p w:rsidR="00C241A2" w:rsidRDefault="00C241A2" w:rsidP="00C24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1A2" w:rsidRDefault="00C241A2" w:rsidP="00C241A2">
      <w:r>
        <w:separator/>
      </w:r>
    </w:p>
  </w:footnote>
  <w:footnote w:type="continuationSeparator" w:id="1">
    <w:p w:rsidR="00C241A2" w:rsidRDefault="00C241A2" w:rsidP="00C24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A2" w:rsidRPr="00C241A2" w:rsidRDefault="00C241A2" w:rsidP="00C241A2">
    <w:pPr>
      <w:pStyle w:val="Cabealho"/>
    </w:pPr>
    <w: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B43D66"/>
    <w:rsid w:val="00004C6D"/>
    <w:rsid w:val="000829FB"/>
    <w:rsid w:val="002B462B"/>
    <w:rsid w:val="003B68D1"/>
    <w:rsid w:val="006A273E"/>
    <w:rsid w:val="007A1FB2"/>
    <w:rsid w:val="008C4C20"/>
    <w:rsid w:val="00B31E51"/>
    <w:rsid w:val="00B43D66"/>
    <w:rsid w:val="00C241A2"/>
    <w:rsid w:val="00C31F81"/>
    <w:rsid w:val="00C916AD"/>
    <w:rsid w:val="00DE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43D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B43D6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ntedodatabela">
    <w:name w:val="Conteúdo da tabela"/>
    <w:basedOn w:val="Normal"/>
    <w:uiPriority w:val="99"/>
    <w:rsid w:val="00B43D66"/>
    <w:pPr>
      <w:widowControl w:val="0"/>
      <w:suppressLineNumbers/>
      <w:suppressAutoHyphens/>
    </w:pPr>
  </w:style>
  <w:style w:type="paragraph" w:styleId="Cabealho">
    <w:name w:val="header"/>
    <w:basedOn w:val="Normal"/>
    <w:link w:val="CabealhoChar"/>
    <w:uiPriority w:val="99"/>
    <w:semiHidden/>
    <w:unhideWhenUsed/>
    <w:rsid w:val="00C241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241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241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241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41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1A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29</Pages>
  <Words>10878</Words>
  <Characters>58742</Characters>
  <Application>Microsoft Office Word</Application>
  <DocSecurity>0</DocSecurity>
  <Lines>489</Lines>
  <Paragraphs>138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6</cp:revision>
  <cp:lastPrinted>2020-11-17T17:04:00Z</cp:lastPrinted>
  <dcterms:created xsi:type="dcterms:W3CDTF">2020-11-16T17:47:00Z</dcterms:created>
  <dcterms:modified xsi:type="dcterms:W3CDTF">2020-11-17T17:06:00Z</dcterms:modified>
</cp:coreProperties>
</file>